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63B09" w:rsidTr="00763B09">
        <w:trPr>
          <w:tblCellSpacing w:w="0" w:type="dxa"/>
          <w:jc w:val="center"/>
        </w:trPr>
        <w:tc>
          <w:tcPr>
            <w:tcW w:w="0" w:type="auto"/>
            <w:shd w:val="clear" w:color="auto" w:fill="FFFFFF"/>
            <w:vAlign w:val="center"/>
          </w:tcPr>
          <w:tbl>
            <w:tblPr>
              <w:tblW w:w="10500" w:type="dxa"/>
              <w:tblCellSpacing w:w="0" w:type="dxa"/>
              <w:shd w:val="clear" w:color="auto" w:fill="FFFFFF"/>
              <w:tblCellMar>
                <w:left w:w="0" w:type="dxa"/>
                <w:right w:w="0" w:type="dxa"/>
              </w:tblCellMar>
              <w:tblLook w:val="04A0" w:firstRow="1" w:lastRow="0" w:firstColumn="1" w:lastColumn="0" w:noHBand="0" w:noVBand="1"/>
            </w:tblPr>
            <w:tblGrid>
              <w:gridCol w:w="41"/>
              <w:gridCol w:w="6637"/>
              <w:gridCol w:w="3528"/>
              <w:gridCol w:w="20"/>
              <w:gridCol w:w="274"/>
            </w:tblGrid>
            <w:tr w:rsidR="00763B09">
              <w:trPr>
                <w:trHeight w:val="300"/>
                <w:tblCellSpacing w:w="0" w:type="dxa"/>
              </w:trPr>
              <w:tc>
                <w:tcPr>
                  <w:tcW w:w="41" w:type="dxa"/>
                  <w:shd w:val="clear" w:color="auto" w:fill="FFFFFF"/>
                  <w:vAlign w:val="center"/>
                  <w:hideMark/>
                </w:tcPr>
                <w:p w:rsidR="00763B09" w:rsidRDefault="00763B09"/>
              </w:tc>
              <w:tc>
                <w:tcPr>
                  <w:tcW w:w="10165" w:type="dxa"/>
                  <w:gridSpan w:val="2"/>
                  <w:shd w:val="clear" w:color="auto" w:fill="FFFFFF"/>
                  <w:vAlign w:val="bottom"/>
                  <w:hideMark/>
                </w:tcPr>
                <w:p w:rsidR="00763B09" w:rsidRDefault="00763B09">
                  <w:pPr>
                    <w:spacing w:line="240" w:lineRule="atLeast"/>
                    <w:rPr>
                      <w:rFonts w:ascii="Verdana" w:hAnsi="Verdana"/>
                      <w:color w:val="000000"/>
                      <w:sz w:val="17"/>
                      <w:szCs w:val="17"/>
                      <w:lang w:val="en-GB"/>
                    </w:rPr>
                  </w:pPr>
                  <w:r>
                    <w:rPr>
                      <w:rStyle w:val="onlineversion"/>
                      <w:rFonts w:ascii="Verdana" w:hAnsi="Verdana"/>
                      <w:color w:val="000000"/>
                      <w:sz w:val="17"/>
                      <w:szCs w:val="17"/>
                      <w:lang w:val="en-GB"/>
                    </w:rPr>
                    <w:t xml:space="preserve">CMS </w:t>
                  </w:r>
                  <w:r>
                    <w:rPr>
                      <w:rStyle w:val="onlineversion"/>
                      <w:rFonts w:ascii="Verdana" w:hAnsi="Verdana"/>
                      <w:sz w:val="17"/>
                      <w:szCs w:val="17"/>
                      <w:lang w:val="en-GB"/>
                    </w:rPr>
                    <w:t xml:space="preserve">Newsletter </w:t>
                  </w:r>
                  <w:r>
                    <w:rPr>
                      <w:rStyle w:val="onlineversion"/>
                      <w:rFonts w:ascii="Verdana" w:hAnsi="Verdana"/>
                      <w:color w:val="000000"/>
                      <w:sz w:val="17"/>
                      <w:szCs w:val="17"/>
                      <w:lang w:val="en-GB"/>
                    </w:rPr>
                    <w:t>Italia</w:t>
                  </w:r>
                </w:p>
              </w:tc>
              <w:tc>
                <w:tcPr>
                  <w:tcW w:w="294" w:type="dxa"/>
                  <w:gridSpan w:val="2"/>
                  <w:shd w:val="clear" w:color="auto" w:fill="FFFFFF"/>
                  <w:vAlign w:val="center"/>
                  <w:hideMark/>
                </w:tcPr>
                <w:p w:rsidR="00763B09" w:rsidRDefault="00763B09">
                  <w:pPr>
                    <w:rPr>
                      <w:rFonts w:ascii="Verdana" w:hAnsi="Verdana"/>
                      <w:color w:val="000000"/>
                      <w:sz w:val="17"/>
                      <w:szCs w:val="17"/>
                      <w:lang w:val="en-GB"/>
                    </w:rPr>
                  </w:pPr>
                </w:p>
              </w:tc>
            </w:tr>
            <w:tr w:rsidR="00763B09">
              <w:trPr>
                <w:trHeight w:val="360"/>
                <w:tblCellSpacing w:w="0" w:type="dxa"/>
              </w:trPr>
              <w:tc>
                <w:tcPr>
                  <w:tcW w:w="41" w:type="dxa"/>
                  <w:shd w:val="clear" w:color="auto" w:fill="FFFFFF"/>
                  <w:vAlign w:val="center"/>
                  <w:hideMark/>
                </w:tcPr>
                <w:p w:rsidR="00763B09" w:rsidRDefault="00763B09">
                  <w:pPr>
                    <w:rPr>
                      <w:rFonts w:ascii="Times New Roman" w:eastAsia="Times New Roman" w:hAnsi="Times New Roman" w:cs="Times New Roman"/>
                      <w:sz w:val="20"/>
                      <w:szCs w:val="20"/>
                    </w:rPr>
                  </w:pPr>
                </w:p>
              </w:tc>
              <w:tc>
                <w:tcPr>
                  <w:tcW w:w="10165" w:type="dxa"/>
                  <w:gridSpan w:val="2"/>
                  <w:shd w:val="clear" w:color="auto" w:fill="FFFFFF"/>
                  <w:vAlign w:val="center"/>
                  <w:hideMark/>
                </w:tcPr>
                <w:p w:rsidR="00763B09" w:rsidRDefault="00763B09">
                  <w:pPr>
                    <w:spacing w:line="240" w:lineRule="atLeast"/>
                    <w:jc w:val="center"/>
                    <w:rPr>
                      <w:rFonts w:ascii="Verdana" w:eastAsia="Times New Roman" w:hAnsi="Verdana"/>
                      <w:color w:val="000000"/>
                      <w:sz w:val="17"/>
                      <w:szCs w:val="17"/>
                    </w:rPr>
                  </w:pPr>
                  <w:r>
                    <w:rPr>
                      <w:rFonts w:ascii="Verdana" w:eastAsia="Times New Roman" w:hAnsi="Verdana"/>
                      <w:color w:val="000000"/>
                      <w:sz w:val="17"/>
                      <w:szCs w:val="17"/>
                    </w:rPr>
                    <w:pict>
                      <v:rect id="_x0000_i1025" style="width:481.9pt;height:.5pt" o:hralign="center" o:hrstd="t" o:hrnoshade="t" o:hr="t" fillcolor="#766a62" stroked="f"/>
                    </w:pict>
                  </w:r>
                </w:p>
              </w:tc>
              <w:tc>
                <w:tcPr>
                  <w:tcW w:w="294" w:type="dxa"/>
                  <w:gridSpan w:val="2"/>
                  <w:shd w:val="clear" w:color="auto" w:fill="FFFFFF"/>
                  <w:vAlign w:val="center"/>
                  <w:hideMark/>
                </w:tcPr>
                <w:p w:rsidR="00763B09" w:rsidRDefault="00763B09">
                  <w:pPr>
                    <w:spacing w:line="240" w:lineRule="atLeast"/>
                    <w:jc w:val="center"/>
                    <w:rPr>
                      <w:rFonts w:ascii="Verdana" w:eastAsia="Times New Roman" w:hAnsi="Verdana"/>
                      <w:color w:val="000000"/>
                      <w:sz w:val="17"/>
                      <w:szCs w:val="17"/>
                    </w:rPr>
                  </w:pPr>
                </w:p>
              </w:tc>
            </w:tr>
            <w:tr w:rsidR="00763B09">
              <w:trPr>
                <w:tblCellSpacing w:w="0" w:type="dxa"/>
              </w:trPr>
              <w:tc>
                <w:tcPr>
                  <w:tcW w:w="41" w:type="dxa"/>
                  <w:shd w:val="clear" w:color="auto" w:fill="FFFFFF"/>
                  <w:vAlign w:val="center"/>
                  <w:hideMark/>
                </w:tcPr>
                <w:p w:rsidR="00763B09" w:rsidRDefault="00763B09">
                  <w:pPr>
                    <w:rPr>
                      <w:rFonts w:ascii="Times New Roman" w:eastAsia="Times New Roman" w:hAnsi="Times New Roman" w:cs="Times New Roman"/>
                      <w:sz w:val="20"/>
                      <w:szCs w:val="20"/>
                    </w:rPr>
                  </w:pPr>
                </w:p>
              </w:tc>
              <w:tc>
                <w:tcPr>
                  <w:tcW w:w="10165" w:type="dxa"/>
                  <w:gridSpan w:val="2"/>
                  <w:shd w:val="clear" w:color="auto" w:fill="FFFFFF"/>
                  <w:tcMar>
                    <w:top w:w="0" w:type="dxa"/>
                    <w:left w:w="0" w:type="dxa"/>
                    <w:bottom w:w="0" w:type="dxa"/>
                    <w:right w:w="15" w:type="dxa"/>
                  </w:tcMar>
                  <w:hideMark/>
                </w:tcPr>
                <w:p w:rsidR="00763B09" w:rsidRDefault="00763B09">
                  <w:pPr>
                    <w:spacing w:before="105" w:after="105" w:line="240" w:lineRule="atLeast"/>
                    <w:rPr>
                      <w:rFonts w:ascii="Verdana" w:hAnsi="Verdana"/>
                      <w:color w:val="000000"/>
                      <w:sz w:val="17"/>
                      <w:szCs w:val="17"/>
                    </w:rPr>
                  </w:pPr>
                  <w:r>
                    <w:rPr>
                      <w:rFonts w:ascii="Verdana" w:hAnsi="Verdana"/>
                      <w:noProof/>
                      <w:color w:val="000000"/>
                      <w:sz w:val="17"/>
                      <w:szCs w:val="17"/>
                    </w:rPr>
                    <w:drawing>
                      <wp:inline distT="0" distB="0" distL="0" distR="0">
                        <wp:extent cx="6120130" cy="546735"/>
                        <wp:effectExtent l="0" t="0" r="0" b="5715"/>
                        <wp:docPr id="3" name="Immagine 3" descr="http://www.cms-legal.net/img/firms/CMS_Law_T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ms-legal.net/img/firms/CMS_Law_Ta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546735"/>
                                </a:xfrm>
                                <a:prstGeom prst="rect">
                                  <a:avLst/>
                                </a:prstGeom>
                                <a:noFill/>
                                <a:ln>
                                  <a:noFill/>
                                </a:ln>
                              </pic:spPr>
                            </pic:pic>
                          </a:graphicData>
                        </a:graphic>
                      </wp:inline>
                    </w:drawing>
                  </w:r>
                </w:p>
              </w:tc>
              <w:tc>
                <w:tcPr>
                  <w:tcW w:w="294" w:type="dxa"/>
                  <w:gridSpan w:val="2"/>
                  <w:shd w:val="clear" w:color="auto" w:fill="FFFFFF"/>
                  <w:vAlign w:val="center"/>
                  <w:hideMark/>
                </w:tcPr>
                <w:p w:rsidR="00763B09" w:rsidRDefault="00763B09">
                  <w:pPr>
                    <w:rPr>
                      <w:rFonts w:ascii="Verdana" w:hAnsi="Verdana"/>
                      <w:color w:val="000000"/>
                      <w:sz w:val="17"/>
                      <w:szCs w:val="17"/>
                    </w:rPr>
                  </w:pPr>
                </w:p>
              </w:tc>
            </w:tr>
            <w:tr w:rsidR="00763B09">
              <w:trPr>
                <w:trHeight w:val="180"/>
                <w:tblCellSpacing w:w="0" w:type="dxa"/>
              </w:trPr>
              <w:tc>
                <w:tcPr>
                  <w:tcW w:w="41" w:type="dxa"/>
                  <w:shd w:val="clear" w:color="auto" w:fill="FFFFFF"/>
                  <w:vAlign w:val="center"/>
                  <w:hideMark/>
                </w:tcPr>
                <w:p w:rsidR="00763B09" w:rsidRDefault="00763B09">
                  <w:pPr>
                    <w:rPr>
                      <w:rFonts w:ascii="Times New Roman" w:eastAsia="Times New Roman" w:hAnsi="Times New Roman" w:cs="Times New Roman"/>
                      <w:sz w:val="20"/>
                      <w:szCs w:val="20"/>
                    </w:rPr>
                  </w:pPr>
                </w:p>
              </w:tc>
              <w:tc>
                <w:tcPr>
                  <w:tcW w:w="0" w:type="auto"/>
                  <w:shd w:val="clear" w:color="auto" w:fill="FFFFFF"/>
                  <w:vAlign w:val="center"/>
                  <w:hideMark/>
                </w:tcPr>
                <w:p w:rsidR="00763B09" w:rsidRDefault="00763B09">
                  <w:pPr>
                    <w:rPr>
                      <w:rFonts w:ascii="Times New Roman" w:eastAsia="Times New Roman" w:hAnsi="Times New Roman" w:cs="Times New Roman"/>
                      <w:sz w:val="20"/>
                      <w:szCs w:val="20"/>
                    </w:rPr>
                  </w:pPr>
                </w:p>
              </w:tc>
              <w:tc>
                <w:tcPr>
                  <w:tcW w:w="3528" w:type="dxa"/>
                  <w:shd w:val="clear" w:color="auto" w:fill="FFFFFF"/>
                  <w:vAlign w:val="center"/>
                  <w:hideMark/>
                </w:tcPr>
                <w:p w:rsidR="00763B09" w:rsidRDefault="00763B09">
                  <w:pPr>
                    <w:rPr>
                      <w:rFonts w:ascii="Times New Roman" w:eastAsia="Times New Roman" w:hAnsi="Times New Roman" w:cs="Times New Roman"/>
                      <w:sz w:val="20"/>
                      <w:szCs w:val="20"/>
                    </w:rPr>
                  </w:pPr>
                </w:p>
              </w:tc>
              <w:tc>
                <w:tcPr>
                  <w:tcW w:w="294" w:type="dxa"/>
                  <w:gridSpan w:val="2"/>
                  <w:shd w:val="clear" w:color="auto" w:fill="FFFFFF"/>
                  <w:vAlign w:val="center"/>
                  <w:hideMark/>
                </w:tcPr>
                <w:p w:rsidR="00763B09" w:rsidRDefault="00763B09">
                  <w:pPr>
                    <w:rPr>
                      <w:rFonts w:ascii="Times New Roman" w:eastAsia="Times New Roman" w:hAnsi="Times New Roman" w:cs="Times New Roman"/>
                      <w:sz w:val="20"/>
                      <w:szCs w:val="20"/>
                    </w:rPr>
                  </w:pPr>
                </w:p>
              </w:tc>
            </w:tr>
            <w:tr w:rsidR="00763B09">
              <w:trPr>
                <w:tblCellSpacing w:w="0" w:type="dxa"/>
              </w:trPr>
              <w:tc>
                <w:tcPr>
                  <w:tcW w:w="41" w:type="dxa"/>
                  <w:shd w:val="clear" w:color="auto" w:fill="FFFFFF"/>
                  <w:vAlign w:val="center"/>
                  <w:hideMark/>
                </w:tcPr>
                <w:p w:rsidR="00763B09" w:rsidRDefault="00763B09">
                  <w:pPr>
                    <w:rPr>
                      <w:rFonts w:ascii="Times New Roman" w:eastAsia="Times New Roman" w:hAnsi="Times New Roman" w:cs="Times New Roman"/>
                      <w:sz w:val="20"/>
                      <w:szCs w:val="20"/>
                    </w:rPr>
                  </w:pPr>
                </w:p>
              </w:tc>
              <w:tc>
                <w:tcPr>
                  <w:tcW w:w="0" w:type="auto"/>
                  <w:gridSpan w:val="2"/>
                  <w:shd w:val="clear" w:color="auto" w:fill="FFFFFF"/>
                  <w:vAlign w:val="center"/>
                  <w:hideMark/>
                </w:tcPr>
                <w:tbl>
                  <w:tblPr>
                    <w:tblW w:w="4879" w:type="pct"/>
                    <w:tblCellSpacing w:w="0" w:type="dxa"/>
                    <w:tblCellMar>
                      <w:left w:w="0" w:type="dxa"/>
                      <w:right w:w="0" w:type="dxa"/>
                    </w:tblCellMar>
                    <w:tblLook w:val="04A0" w:firstRow="1" w:lastRow="0" w:firstColumn="1" w:lastColumn="0" w:noHBand="0" w:noVBand="1"/>
                  </w:tblPr>
                  <w:tblGrid>
                    <w:gridCol w:w="9919"/>
                  </w:tblGrid>
                  <w:tr w:rsidR="00763B09">
                    <w:trPr>
                      <w:trHeight w:val="1500"/>
                      <w:tblCellSpacing w:w="0" w:type="dxa"/>
                    </w:trPr>
                    <w:tc>
                      <w:tcPr>
                        <w:tcW w:w="5000" w:type="pct"/>
                        <w:hideMark/>
                      </w:tcPr>
                      <w:p w:rsidR="00763B09" w:rsidRDefault="00763B09">
                        <w:pPr>
                          <w:spacing w:line="240" w:lineRule="atLeast"/>
                          <w:rPr>
                            <w:rFonts w:ascii="Verdana" w:hAnsi="Verdana"/>
                            <w:color w:val="FFFFFF"/>
                            <w:sz w:val="17"/>
                            <w:szCs w:val="17"/>
                          </w:rPr>
                        </w:pPr>
                        <w:r>
                          <w:rPr>
                            <w:rFonts w:ascii="Verdana" w:hAnsi="Verdana"/>
                            <w:noProof/>
                            <w:sz w:val="17"/>
                            <w:szCs w:val="17"/>
                          </w:rPr>
                          <w:drawing>
                            <wp:inline distT="0" distB="0" distL="0" distR="0">
                              <wp:extent cx="6120130" cy="1375410"/>
                              <wp:effectExtent l="0" t="0" r="0" b="0"/>
                              <wp:docPr id="2" name="Immagine 2" descr="http://www.cms-legal.net/nl_generator_global/img/full-bleed/full-bleed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ms-legal.net/nl_generator_global/img/full-bleed/full-bleed_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375410"/>
                                      </a:xfrm>
                                      <a:prstGeom prst="rect">
                                        <a:avLst/>
                                      </a:prstGeom>
                                      <a:noFill/>
                                      <a:ln>
                                        <a:noFill/>
                                      </a:ln>
                                    </pic:spPr>
                                  </pic:pic>
                                </a:graphicData>
                              </a:graphic>
                            </wp:inline>
                          </w:drawing>
                        </w:r>
                      </w:p>
                    </w:tc>
                  </w:tr>
                </w:tbl>
                <w:p w:rsidR="00763B09" w:rsidRDefault="00763B09">
                  <w:pPr>
                    <w:rPr>
                      <w:rFonts w:ascii="Times New Roman" w:eastAsia="Times New Roman" w:hAnsi="Times New Roman" w:cs="Times New Roman"/>
                      <w:sz w:val="20"/>
                      <w:szCs w:val="20"/>
                    </w:rPr>
                  </w:pPr>
                </w:p>
              </w:tc>
              <w:tc>
                <w:tcPr>
                  <w:tcW w:w="20" w:type="dxa"/>
                  <w:shd w:val="clear" w:color="auto" w:fill="FFFFFF"/>
                  <w:vAlign w:val="center"/>
                  <w:hideMark/>
                </w:tcPr>
                <w:p w:rsidR="00763B09" w:rsidRDefault="00763B09">
                  <w:pPr>
                    <w:rPr>
                      <w:rFonts w:ascii="Times New Roman" w:eastAsia="Times New Roman" w:hAnsi="Times New Roman" w:cs="Times New Roman"/>
                      <w:sz w:val="20"/>
                      <w:szCs w:val="20"/>
                    </w:rPr>
                  </w:pPr>
                </w:p>
              </w:tc>
              <w:tc>
                <w:tcPr>
                  <w:tcW w:w="15" w:type="dxa"/>
                  <w:shd w:val="clear" w:color="auto" w:fill="FFFFFF"/>
                  <w:vAlign w:val="center"/>
                  <w:hideMark/>
                </w:tcPr>
                <w:p w:rsidR="00763B09" w:rsidRDefault="00763B09">
                  <w:r>
                    <w:t> </w:t>
                  </w:r>
                </w:p>
              </w:tc>
            </w:tr>
            <w:tr w:rsidR="00763B09">
              <w:trPr>
                <w:tblCellSpacing w:w="0" w:type="dxa"/>
              </w:trPr>
              <w:tc>
                <w:tcPr>
                  <w:tcW w:w="41" w:type="dxa"/>
                  <w:shd w:val="clear" w:color="auto" w:fill="FFFFFF"/>
                  <w:vAlign w:val="center"/>
                  <w:hideMark/>
                </w:tcPr>
                <w:p w:rsidR="00763B09" w:rsidRDefault="00763B09"/>
              </w:tc>
              <w:tc>
                <w:tcPr>
                  <w:tcW w:w="6637" w:type="dxa"/>
                  <w:shd w:val="clear" w:color="auto" w:fill="FFFFFF"/>
                  <w:vAlign w:val="center"/>
                  <w:hideMark/>
                </w:tcPr>
                <w:p w:rsidR="00763B09" w:rsidRDefault="00763B09">
                  <w:pPr>
                    <w:rPr>
                      <w:rFonts w:ascii="Times New Roman" w:eastAsia="Times New Roman" w:hAnsi="Times New Roman" w:cs="Times New Roman"/>
                      <w:sz w:val="20"/>
                      <w:szCs w:val="20"/>
                    </w:rPr>
                  </w:pPr>
                </w:p>
              </w:tc>
              <w:tc>
                <w:tcPr>
                  <w:tcW w:w="3528" w:type="dxa"/>
                  <w:shd w:val="clear" w:color="auto" w:fill="FFFFFF"/>
                  <w:vAlign w:val="center"/>
                  <w:hideMark/>
                </w:tcPr>
                <w:p w:rsidR="00763B09" w:rsidRDefault="00763B09">
                  <w:pPr>
                    <w:rPr>
                      <w:rFonts w:ascii="Times New Roman" w:eastAsia="Times New Roman" w:hAnsi="Times New Roman" w:cs="Times New Roman"/>
                      <w:sz w:val="20"/>
                      <w:szCs w:val="20"/>
                    </w:rPr>
                  </w:pPr>
                </w:p>
              </w:tc>
              <w:tc>
                <w:tcPr>
                  <w:tcW w:w="294" w:type="dxa"/>
                  <w:gridSpan w:val="2"/>
                  <w:shd w:val="clear" w:color="auto" w:fill="FFFFFF"/>
                  <w:vAlign w:val="center"/>
                  <w:hideMark/>
                </w:tcPr>
                <w:p w:rsidR="00763B09" w:rsidRDefault="00763B09">
                  <w:pPr>
                    <w:rPr>
                      <w:rFonts w:ascii="Times New Roman" w:eastAsia="Times New Roman" w:hAnsi="Times New Roman" w:cs="Times New Roman"/>
                      <w:sz w:val="20"/>
                      <w:szCs w:val="20"/>
                    </w:rPr>
                  </w:pPr>
                </w:p>
              </w:tc>
            </w:tr>
          </w:tbl>
          <w:p w:rsidR="00763B09" w:rsidRDefault="00763B09">
            <w:pPr>
              <w:spacing w:line="240" w:lineRule="atLeast"/>
              <w:rPr>
                <w:rFonts w:ascii="Verdana" w:hAnsi="Verdana"/>
                <w:vanish/>
                <w:color w:val="000000"/>
                <w:sz w:val="17"/>
                <w:szCs w:val="17"/>
              </w:rPr>
            </w:pPr>
          </w:p>
          <w:tbl>
            <w:tblPr>
              <w:tblW w:w="5000" w:type="pct"/>
              <w:tblCellSpacing w:w="15" w:type="dxa"/>
              <w:tblCellMar>
                <w:left w:w="0" w:type="dxa"/>
                <w:right w:w="0" w:type="dxa"/>
              </w:tblCellMar>
              <w:tblLook w:val="04A0" w:firstRow="1" w:lastRow="0" w:firstColumn="1" w:lastColumn="0" w:noHBand="0" w:noVBand="1"/>
            </w:tblPr>
            <w:tblGrid>
              <w:gridCol w:w="10500"/>
            </w:tblGrid>
            <w:tr w:rsidR="00763B09">
              <w:trPr>
                <w:trHeight w:val="200"/>
                <w:tblCellSpacing w:w="15" w:type="dxa"/>
                <w:hidden/>
              </w:trPr>
              <w:tc>
                <w:tcPr>
                  <w:tcW w:w="0" w:type="auto"/>
                  <w:tcMar>
                    <w:top w:w="15" w:type="dxa"/>
                    <w:left w:w="15" w:type="dxa"/>
                    <w:bottom w:w="15" w:type="dxa"/>
                    <w:right w:w="15" w:type="dxa"/>
                  </w:tcMar>
                  <w:vAlign w:val="center"/>
                  <w:hideMark/>
                </w:tcPr>
                <w:p w:rsidR="00763B09" w:rsidRDefault="00763B09">
                  <w:pPr>
                    <w:rPr>
                      <w:rFonts w:ascii="Verdana" w:hAnsi="Verdana"/>
                      <w:vanish/>
                      <w:color w:val="000000"/>
                      <w:sz w:val="17"/>
                      <w:szCs w:val="17"/>
                    </w:rPr>
                  </w:pPr>
                </w:p>
              </w:tc>
            </w:tr>
          </w:tbl>
          <w:p w:rsidR="00763B09" w:rsidRDefault="00763B09">
            <w:pPr>
              <w:spacing w:line="240" w:lineRule="atLeast"/>
              <w:rPr>
                <w:rFonts w:ascii="Verdana" w:hAnsi="Verdana"/>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270"/>
              <w:gridCol w:w="9960"/>
              <w:gridCol w:w="270"/>
            </w:tblGrid>
            <w:tr w:rsidR="00763B09">
              <w:trPr>
                <w:trHeight w:val="400"/>
                <w:tblCellSpacing w:w="0" w:type="dxa"/>
                <w:hidden/>
              </w:trPr>
              <w:tc>
                <w:tcPr>
                  <w:tcW w:w="270" w:type="dxa"/>
                  <w:vAlign w:val="center"/>
                  <w:hideMark/>
                </w:tcPr>
                <w:p w:rsidR="00763B09" w:rsidRDefault="00763B09">
                  <w:pPr>
                    <w:rPr>
                      <w:rFonts w:ascii="Verdana" w:hAnsi="Verdana"/>
                      <w:vanish/>
                      <w:color w:val="000000"/>
                      <w:sz w:val="17"/>
                      <w:szCs w:val="17"/>
                    </w:rPr>
                  </w:pPr>
                </w:p>
              </w:tc>
              <w:tc>
                <w:tcPr>
                  <w:tcW w:w="0" w:type="auto"/>
                  <w:hideMark/>
                </w:tcPr>
                <w:p w:rsidR="00763B09" w:rsidRDefault="00763B09">
                  <w:pPr>
                    <w:spacing w:line="240" w:lineRule="atLeast"/>
                    <w:rPr>
                      <w:rFonts w:ascii="Verdana" w:hAnsi="Verdana"/>
                      <w:sz w:val="17"/>
                      <w:szCs w:val="17"/>
                    </w:rPr>
                  </w:pPr>
                  <w:r>
                    <w:rPr>
                      <w:rStyle w:val="h11"/>
                      <w:rFonts w:ascii="Verdana" w:hAnsi="Verdana"/>
                      <w:sz w:val="30"/>
                      <w:szCs w:val="30"/>
                    </w:rPr>
                    <w:t>CMS Newsletter Italia</w:t>
                  </w:r>
                </w:p>
                <w:p w:rsidR="00763B09" w:rsidRDefault="00763B09">
                  <w:pPr>
                    <w:spacing w:line="240" w:lineRule="atLeast"/>
                    <w:jc w:val="center"/>
                    <w:rPr>
                      <w:rFonts w:ascii="Verdana" w:eastAsia="Times New Roman" w:hAnsi="Verdana"/>
                      <w:sz w:val="17"/>
                      <w:szCs w:val="17"/>
                    </w:rPr>
                  </w:pPr>
                  <w:r>
                    <w:rPr>
                      <w:rFonts w:ascii="Verdana" w:eastAsia="Times New Roman" w:hAnsi="Verdana"/>
                      <w:sz w:val="17"/>
                      <w:szCs w:val="17"/>
                    </w:rPr>
                    <w:pict>
                      <v:rect id="_x0000_i1028" style="width:481.9pt;height:.5pt" o:hralign="center" o:hrstd="t" o:hrnoshade="t" o:hr="t" fillcolor="#766a62" stroked="f"/>
                    </w:pict>
                  </w:r>
                </w:p>
              </w:tc>
              <w:tc>
                <w:tcPr>
                  <w:tcW w:w="270" w:type="dxa"/>
                  <w:vAlign w:val="center"/>
                  <w:hideMark/>
                </w:tcPr>
                <w:p w:rsidR="00763B09" w:rsidRDefault="00763B09">
                  <w:pPr>
                    <w:spacing w:line="240" w:lineRule="atLeast"/>
                    <w:jc w:val="center"/>
                    <w:rPr>
                      <w:rFonts w:ascii="Verdana" w:eastAsia="Times New Roman" w:hAnsi="Verdana"/>
                      <w:sz w:val="17"/>
                      <w:szCs w:val="17"/>
                    </w:rPr>
                  </w:pPr>
                </w:p>
              </w:tc>
            </w:tr>
          </w:tbl>
          <w:p w:rsidR="00763B09" w:rsidRDefault="00763B09"/>
        </w:tc>
      </w:tr>
      <w:tr w:rsidR="00763B09" w:rsidTr="00763B09">
        <w:trPr>
          <w:tblCellSpacing w:w="0" w:type="dxa"/>
          <w:jc w:val="center"/>
        </w:trPr>
        <w:tc>
          <w:tcPr>
            <w:tcW w:w="0" w:type="auto"/>
            <w:vAlign w:val="center"/>
          </w:tcPr>
          <w:tbl>
            <w:tblPr>
              <w:tblW w:w="10500" w:type="dxa"/>
              <w:tblCellSpacing w:w="0" w:type="dxa"/>
              <w:shd w:val="clear" w:color="auto" w:fill="FFFFFF"/>
              <w:tblCellMar>
                <w:left w:w="0" w:type="dxa"/>
                <w:right w:w="0" w:type="dxa"/>
              </w:tblCellMar>
              <w:tblLook w:val="04A0" w:firstRow="1" w:lastRow="0" w:firstColumn="1" w:lastColumn="0" w:noHBand="0" w:noVBand="1"/>
            </w:tblPr>
            <w:tblGrid>
              <w:gridCol w:w="270"/>
              <w:gridCol w:w="6660"/>
              <w:gridCol w:w="300"/>
              <w:gridCol w:w="3000"/>
              <w:gridCol w:w="270"/>
            </w:tblGrid>
            <w:tr w:rsidR="00763B09">
              <w:trPr>
                <w:trHeight w:val="1148"/>
                <w:tblCellSpacing w:w="0" w:type="dxa"/>
              </w:trPr>
              <w:tc>
                <w:tcPr>
                  <w:tcW w:w="270" w:type="dxa"/>
                  <w:shd w:val="clear" w:color="auto" w:fill="FFFFFF"/>
                  <w:vAlign w:val="center"/>
                  <w:hideMark/>
                </w:tcPr>
                <w:p w:rsidR="00763B09" w:rsidRDefault="00763B09"/>
              </w:tc>
              <w:tc>
                <w:tcPr>
                  <w:tcW w:w="0" w:type="auto"/>
                  <w:shd w:val="clear" w:color="auto" w:fill="FFFFFF"/>
                </w:tcPr>
                <w:p w:rsidR="00763B09" w:rsidRDefault="00763B09">
                  <w:pPr>
                    <w:rPr>
                      <w:rStyle w:val="h2"/>
                      <w:rFonts w:ascii="Verdana" w:hAnsi="Verdana"/>
                      <w:b/>
                      <w:bCs/>
                      <w:color w:val="70AD47"/>
                      <w:sz w:val="23"/>
                      <w:szCs w:val="23"/>
                    </w:rPr>
                  </w:pPr>
                </w:p>
                <w:p w:rsidR="00763B09" w:rsidRDefault="00763B09">
                  <w:pPr>
                    <w:pStyle w:val="PreformattatoHTML"/>
                    <w:spacing w:after="120"/>
                    <w:rPr>
                      <w:rFonts w:ascii="Times New Roman" w:hAnsi="Times New Roman" w:cs="Times New Roman"/>
                      <w:sz w:val="24"/>
                      <w:szCs w:val="24"/>
                    </w:rPr>
                  </w:pPr>
                  <w:r>
                    <w:rPr>
                      <w:rStyle w:val="h2"/>
                      <w:rFonts w:ascii="Verdana" w:hAnsi="Verdana"/>
                      <w:b/>
                      <w:bCs/>
                      <w:color w:val="70AD47"/>
                      <w:sz w:val="23"/>
                      <w:szCs w:val="23"/>
                    </w:rPr>
                    <w:t>Azione di classe: cosa cambia</w:t>
                  </w:r>
                  <w:r>
                    <w:rPr>
                      <w:rStyle w:val="h2"/>
                      <w:rFonts w:ascii="Verdana" w:hAnsi="Verdana"/>
                      <w:b/>
                      <w:bCs/>
                      <w:sz w:val="23"/>
                      <w:szCs w:val="23"/>
                    </w:rPr>
                    <w:t xml:space="preserve"> </w:t>
                  </w:r>
                </w:p>
              </w:tc>
              <w:tc>
                <w:tcPr>
                  <w:tcW w:w="300" w:type="dxa"/>
                  <w:shd w:val="clear" w:color="auto" w:fill="FFFFFF"/>
                  <w:vAlign w:val="center"/>
                  <w:hideMark/>
                </w:tcPr>
                <w:p w:rsidR="00763B09" w:rsidRDefault="00763B09">
                  <w:pPr>
                    <w:rPr>
                      <w:rFonts w:ascii="Times New Roman" w:hAnsi="Times New Roman" w:cs="Times New Roman"/>
                      <w:sz w:val="24"/>
                      <w:szCs w:val="24"/>
                    </w:rPr>
                  </w:pPr>
                </w:p>
              </w:tc>
              <w:tc>
                <w:tcPr>
                  <w:tcW w:w="3000" w:type="dxa"/>
                  <w:shd w:val="clear" w:color="auto" w:fill="FFFFFF"/>
                  <w:hideMark/>
                </w:tcPr>
                <w:tbl>
                  <w:tblPr>
                    <w:tblpPr w:leftFromText="45" w:rightFromText="45" w:vertAnchor="text" w:tblpXSpec="right" w:tblpYSpec="center"/>
                    <w:tblW w:w="5000" w:type="pct"/>
                    <w:tblCellSpacing w:w="0" w:type="dxa"/>
                    <w:tblCellMar>
                      <w:left w:w="0" w:type="dxa"/>
                      <w:right w:w="0" w:type="dxa"/>
                    </w:tblCellMar>
                    <w:tblLook w:val="04A0" w:firstRow="1" w:lastRow="0" w:firstColumn="1" w:lastColumn="0" w:noHBand="0" w:noVBand="1"/>
                  </w:tblPr>
                  <w:tblGrid>
                    <w:gridCol w:w="86"/>
                    <w:gridCol w:w="2914"/>
                  </w:tblGrid>
                  <w:tr w:rsidR="00763B09">
                    <w:trPr>
                      <w:trHeight w:val="150"/>
                      <w:tblCellSpacing w:w="0" w:type="dxa"/>
                    </w:trPr>
                    <w:tc>
                      <w:tcPr>
                        <w:tcW w:w="0" w:type="auto"/>
                        <w:shd w:val="clear" w:color="auto" w:fill="ADA6A1"/>
                        <w:tcMar>
                          <w:top w:w="40" w:type="dxa"/>
                          <w:left w:w="40" w:type="dxa"/>
                          <w:bottom w:w="40" w:type="dxa"/>
                          <w:right w:w="40" w:type="dxa"/>
                        </w:tcMar>
                        <w:vAlign w:val="center"/>
                        <w:hideMark/>
                      </w:tcPr>
                      <w:p w:rsidR="00763B09" w:rsidRDefault="00763B09">
                        <w:pPr>
                          <w:rPr>
                            <w:rFonts w:ascii="Times New Roman" w:eastAsia="Times New Roman" w:hAnsi="Times New Roman" w:cs="Times New Roman"/>
                            <w:sz w:val="20"/>
                            <w:szCs w:val="20"/>
                          </w:rPr>
                        </w:pPr>
                      </w:p>
                    </w:tc>
                    <w:tc>
                      <w:tcPr>
                        <w:tcW w:w="4857" w:type="pct"/>
                        <w:shd w:val="clear" w:color="auto" w:fill="ADA6A1"/>
                        <w:tcMar>
                          <w:top w:w="40" w:type="dxa"/>
                          <w:left w:w="40" w:type="dxa"/>
                          <w:bottom w:w="40" w:type="dxa"/>
                          <w:right w:w="40" w:type="dxa"/>
                        </w:tcMar>
                        <w:vAlign w:val="center"/>
                        <w:hideMark/>
                      </w:tcPr>
                      <w:tbl>
                        <w:tblPr>
                          <w:tblpPr w:leftFromText="150" w:rightFromText="150" w:vertAnchor="text"/>
                          <w:tblW w:w="3956" w:type="pct"/>
                          <w:tblCellSpacing w:w="0" w:type="dxa"/>
                          <w:tblCellMar>
                            <w:left w:w="0" w:type="dxa"/>
                            <w:right w:w="0" w:type="dxa"/>
                          </w:tblCellMar>
                          <w:tblLook w:val="04A0" w:firstRow="1" w:lastRow="0" w:firstColumn="1" w:lastColumn="0" w:noHBand="0" w:noVBand="1"/>
                        </w:tblPr>
                        <w:tblGrid>
                          <w:gridCol w:w="551"/>
                          <w:gridCol w:w="1691"/>
                        </w:tblGrid>
                        <w:tr w:rsidR="00763B09">
                          <w:trPr>
                            <w:trHeight w:val="401"/>
                            <w:tblCellSpacing w:w="0" w:type="dxa"/>
                          </w:trPr>
                          <w:tc>
                            <w:tcPr>
                              <w:tcW w:w="551" w:type="dxa"/>
                              <w:vAlign w:val="center"/>
                              <w:hideMark/>
                            </w:tcPr>
                            <w:p w:rsidR="00763B09" w:rsidRDefault="00763B09">
                              <w:pPr>
                                <w:rPr>
                                  <w:color w:val="FFFFFF"/>
                                </w:rPr>
                              </w:pPr>
                              <w:r>
                                <w:rPr>
                                  <w:rFonts w:ascii="Arial" w:hAnsi="Arial" w:cs="Arial"/>
                                  <w:noProof/>
                                  <w:color w:val="666666"/>
                                  <w:sz w:val="15"/>
                                  <w:szCs w:val="15"/>
                                </w:rPr>
                                <w:drawing>
                                  <wp:inline distT="0" distB="0" distL="0" distR="0">
                                    <wp:extent cx="285750" cy="203200"/>
                                    <wp:effectExtent l="0" t="0" r="0" b="6350"/>
                                    <wp:docPr id="1" name="Immagine 1" descr="http://i.datasrvr.com/1837254350143592580873/icon3v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datasrvr.com/1837254350143592580873/icon3v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03200"/>
                                            </a:xfrm>
                                            <a:prstGeom prst="rect">
                                              <a:avLst/>
                                            </a:prstGeom>
                                            <a:noFill/>
                                            <a:ln>
                                              <a:noFill/>
                                            </a:ln>
                                          </pic:spPr>
                                        </pic:pic>
                                      </a:graphicData>
                                    </a:graphic>
                                  </wp:inline>
                                </w:drawing>
                              </w:r>
                            </w:p>
                          </w:tc>
                          <w:tc>
                            <w:tcPr>
                              <w:tcW w:w="1691" w:type="dxa"/>
                              <w:vAlign w:val="center"/>
                              <w:hideMark/>
                            </w:tcPr>
                            <w:p w:rsidR="00763B09" w:rsidRDefault="00763B09">
                              <w:hyperlink r:id="rId8" w:tgtFrame="_blank" w:history="1">
                                <w:r>
                                  <w:rPr>
                                    <w:rStyle w:val="Enfasigrassetto"/>
                                    <w:rFonts w:ascii="Verdana" w:hAnsi="Verdana"/>
                                    <w:color w:val="FFFFFF"/>
                                    <w:sz w:val="16"/>
                                    <w:szCs w:val="16"/>
                                  </w:rPr>
                                  <w:t xml:space="preserve">LinkedIn </w:t>
                                </w:r>
                              </w:hyperlink>
                            </w:p>
                          </w:tc>
                        </w:tr>
                        <w:tr w:rsidR="00763B09">
                          <w:trPr>
                            <w:trHeight w:val="307"/>
                            <w:tblCellSpacing w:w="0" w:type="dxa"/>
                          </w:trPr>
                          <w:tc>
                            <w:tcPr>
                              <w:tcW w:w="551" w:type="dxa"/>
                              <w:vAlign w:val="center"/>
                              <w:hideMark/>
                            </w:tcPr>
                            <w:p w:rsidR="00763B09" w:rsidRDefault="00763B09">
                              <w:r>
                                <w:rPr>
                                  <w:rStyle w:val="Enfasigrassetto"/>
                                  <w:rFonts w:ascii="Verdana" w:hAnsi="Verdana"/>
                                  <w:color w:val="FFFFFF"/>
                                  <w:sz w:val="20"/>
                                  <w:szCs w:val="20"/>
                                </w:rPr>
                                <w:t>LN</w:t>
                              </w:r>
                            </w:p>
                          </w:tc>
                          <w:tc>
                            <w:tcPr>
                              <w:tcW w:w="1691" w:type="dxa"/>
                              <w:vAlign w:val="center"/>
                              <w:hideMark/>
                            </w:tcPr>
                            <w:p w:rsidR="00763B09" w:rsidRDefault="00763B09">
                              <w:pPr>
                                <w:rPr>
                                  <w:color w:val="FFFFFF"/>
                                </w:rPr>
                              </w:pPr>
                              <w:hyperlink r:id="rId9" w:tgtFrame="_blank" w:history="1">
                                <w:proofErr w:type="spellStart"/>
                                <w:r>
                                  <w:rPr>
                                    <w:rStyle w:val="Collegamentoipertestuale"/>
                                    <w:rFonts w:ascii="Verdana" w:hAnsi="Verdana"/>
                                    <w:b/>
                                    <w:bCs/>
                                    <w:color w:val="FFFFFF"/>
                                    <w:sz w:val="16"/>
                                    <w:szCs w:val="16"/>
                                  </w:rPr>
                                  <w:t>Law-Now</w:t>
                                </w:r>
                                <w:proofErr w:type="spellEnd"/>
                              </w:hyperlink>
                            </w:p>
                          </w:tc>
                        </w:tr>
                        <w:tr w:rsidR="00763B09">
                          <w:trPr>
                            <w:trHeight w:val="307"/>
                            <w:tblCellSpacing w:w="0" w:type="dxa"/>
                          </w:trPr>
                          <w:tc>
                            <w:tcPr>
                              <w:tcW w:w="551" w:type="dxa"/>
                              <w:vAlign w:val="center"/>
                              <w:hideMark/>
                            </w:tcPr>
                            <w:p w:rsidR="00763B09" w:rsidRDefault="00763B09">
                              <w:r>
                                <w:rPr>
                                  <w:rStyle w:val="Enfasigrassetto"/>
                                  <w:rFonts w:ascii="Verdana" w:hAnsi="Verdana"/>
                                  <w:color w:val="FFFFFF"/>
                                  <w:sz w:val="20"/>
                                  <w:szCs w:val="20"/>
                                </w:rPr>
                                <w:t>RZ</w:t>
                              </w:r>
                            </w:p>
                          </w:tc>
                          <w:tc>
                            <w:tcPr>
                              <w:tcW w:w="1691" w:type="dxa"/>
                              <w:vAlign w:val="center"/>
                              <w:hideMark/>
                            </w:tcPr>
                            <w:p w:rsidR="00763B09" w:rsidRDefault="00763B09">
                              <w:hyperlink r:id="rId10" w:history="1">
                                <w:proofErr w:type="spellStart"/>
                                <w:r>
                                  <w:rPr>
                                    <w:rStyle w:val="Collegamentoipertestuale"/>
                                    <w:rFonts w:ascii="Verdana" w:hAnsi="Verdana"/>
                                    <w:b/>
                                    <w:bCs/>
                                    <w:color w:val="FFFFFF"/>
                                    <w:sz w:val="16"/>
                                    <w:szCs w:val="16"/>
                                  </w:rPr>
                                  <w:t>RegZone</w:t>
                                </w:r>
                                <w:proofErr w:type="spellEnd"/>
                              </w:hyperlink>
                            </w:p>
                          </w:tc>
                        </w:tr>
                      </w:tbl>
                      <w:p w:rsidR="00763B09" w:rsidRDefault="00763B09">
                        <w:pPr>
                          <w:rPr>
                            <w:rFonts w:ascii="Times New Roman" w:eastAsia="Times New Roman" w:hAnsi="Times New Roman" w:cs="Times New Roman"/>
                            <w:sz w:val="20"/>
                            <w:szCs w:val="20"/>
                          </w:rPr>
                        </w:pPr>
                      </w:p>
                    </w:tc>
                  </w:tr>
                </w:tbl>
                <w:p w:rsidR="00763B09" w:rsidRDefault="00763B09">
                  <w:pPr>
                    <w:rPr>
                      <w:rFonts w:ascii="Times New Roman" w:eastAsia="Times New Roman" w:hAnsi="Times New Roman" w:cs="Times New Roman"/>
                      <w:sz w:val="20"/>
                      <w:szCs w:val="20"/>
                    </w:rPr>
                  </w:pPr>
                </w:p>
              </w:tc>
              <w:tc>
                <w:tcPr>
                  <w:tcW w:w="270" w:type="dxa"/>
                  <w:shd w:val="clear" w:color="auto" w:fill="FFFFFF"/>
                  <w:vAlign w:val="center"/>
                  <w:hideMark/>
                </w:tcPr>
                <w:p w:rsidR="00763B09" w:rsidRDefault="00763B09">
                  <w:pPr>
                    <w:rPr>
                      <w:rFonts w:ascii="Times New Roman" w:eastAsia="Times New Roman" w:hAnsi="Times New Roman" w:cs="Times New Roman"/>
                      <w:sz w:val="20"/>
                      <w:szCs w:val="20"/>
                    </w:rPr>
                  </w:pPr>
                </w:p>
              </w:tc>
            </w:tr>
          </w:tbl>
          <w:p w:rsidR="00763B09" w:rsidRDefault="00763B09">
            <w:pPr>
              <w:spacing w:line="240" w:lineRule="atLeast"/>
              <w:rPr>
                <w:rFonts w:ascii="Verdana" w:hAnsi="Verdana"/>
                <w:vanish/>
                <w:sz w:val="17"/>
                <w:szCs w:val="17"/>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6949"/>
              <w:gridCol w:w="3551"/>
            </w:tblGrid>
            <w:tr w:rsidR="00763B09">
              <w:trPr>
                <w:trHeight w:val="170"/>
                <w:tblCellSpacing w:w="15" w:type="dxa"/>
                <w:hidden/>
              </w:trPr>
              <w:tc>
                <w:tcPr>
                  <w:tcW w:w="3287" w:type="pct"/>
                  <w:shd w:val="clear" w:color="auto" w:fill="FFFFFF"/>
                  <w:tcMar>
                    <w:top w:w="15" w:type="dxa"/>
                    <w:left w:w="15" w:type="dxa"/>
                    <w:bottom w:w="15" w:type="dxa"/>
                    <w:right w:w="15" w:type="dxa"/>
                  </w:tcMar>
                  <w:vAlign w:val="center"/>
                  <w:hideMark/>
                </w:tcPr>
                <w:p w:rsidR="00763B09" w:rsidRDefault="00763B09">
                  <w:pPr>
                    <w:rPr>
                      <w:rFonts w:ascii="Verdana" w:hAnsi="Verdana"/>
                      <w:vanish/>
                      <w:sz w:val="17"/>
                      <w:szCs w:val="17"/>
                    </w:rPr>
                  </w:pPr>
                </w:p>
              </w:tc>
              <w:tc>
                <w:tcPr>
                  <w:tcW w:w="1670" w:type="pct"/>
                  <w:shd w:val="clear" w:color="auto" w:fill="FFFFFF"/>
                  <w:vAlign w:val="center"/>
                  <w:hideMark/>
                </w:tcPr>
                <w:p w:rsidR="00763B09" w:rsidRDefault="00763B09">
                  <w:pPr>
                    <w:rPr>
                      <w:rFonts w:ascii="Arial" w:hAnsi="Arial" w:cs="Arial"/>
                      <w:b/>
                      <w:bCs/>
                      <w:sz w:val="18"/>
                      <w:szCs w:val="18"/>
                      <w:u w:val="single"/>
                    </w:rPr>
                  </w:pPr>
                  <w:hyperlink w:anchor="x" w:history="1">
                    <w:r>
                      <w:rPr>
                        <w:rStyle w:val="Collegamentoipertestuale"/>
                        <w:rFonts w:ascii="Arial" w:hAnsi="Arial" w:cs="Arial"/>
                        <w:b/>
                        <w:bCs/>
                        <w:sz w:val="18"/>
                        <w:szCs w:val="18"/>
                      </w:rPr>
                      <w:t>English Version</w:t>
                    </w:r>
                  </w:hyperlink>
                </w:p>
              </w:tc>
            </w:tr>
          </w:tbl>
          <w:p w:rsidR="00763B09" w:rsidRDefault="00763B09">
            <w:pPr>
              <w:spacing w:line="240" w:lineRule="atLeast"/>
              <w:rPr>
                <w:rFonts w:ascii="Verdana" w:hAnsi="Verdana"/>
                <w:vanish/>
                <w:sz w:val="17"/>
                <w:szCs w:val="17"/>
              </w:rPr>
            </w:pPr>
          </w:p>
          <w:tbl>
            <w:tblPr>
              <w:tblW w:w="10500" w:type="dxa"/>
              <w:tblCellSpacing w:w="0" w:type="dxa"/>
              <w:shd w:val="clear" w:color="auto" w:fill="FFFFFF"/>
              <w:tblCellMar>
                <w:left w:w="0" w:type="dxa"/>
                <w:right w:w="0" w:type="dxa"/>
              </w:tblCellMar>
              <w:tblLook w:val="04A0" w:firstRow="1" w:lastRow="0" w:firstColumn="1" w:lastColumn="0" w:noHBand="0" w:noVBand="1"/>
            </w:tblPr>
            <w:tblGrid>
              <w:gridCol w:w="270"/>
              <w:gridCol w:w="9960"/>
              <w:gridCol w:w="270"/>
            </w:tblGrid>
            <w:tr w:rsidR="00763B09">
              <w:trPr>
                <w:tblCellSpacing w:w="0" w:type="dxa"/>
                <w:hidden/>
              </w:trPr>
              <w:tc>
                <w:tcPr>
                  <w:tcW w:w="270" w:type="dxa"/>
                  <w:shd w:val="clear" w:color="auto" w:fill="FFFFFF"/>
                  <w:vAlign w:val="center"/>
                  <w:hideMark/>
                </w:tcPr>
                <w:p w:rsidR="00763B09" w:rsidRDefault="00763B09">
                  <w:pPr>
                    <w:rPr>
                      <w:rFonts w:ascii="Verdana" w:hAnsi="Verdana"/>
                      <w:vanish/>
                      <w:sz w:val="17"/>
                      <w:szCs w:val="17"/>
                    </w:rPr>
                  </w:pPr>
                </w:p>
              </w:tc>
              <w:tc>
                <w:tcPr>
                  <w:tcW w:w="0" w:type="auto"/>
                  <w:shd w:val="clear" w:color="auto" w:fill="FFFFFF"/>
                  <w:hideMark/>
                </w:tcPr>
                <w:tbl>
                  <w:tblPr>
                    <w:tblW w:w="9960" w:type="dxa"/>
                    <w:tblCellSpacing w:w="0" w:type="dxa"/>
                    <w:tblCellMar>
                      <w:left w:w="0" w:type="dxa"/>
                      <w:right w:w="0" w:type="dxa"/>
                    </w:tblCellMar>
                    <w:tblLook w:val="04A0" w:firstRow="1" w:lastRow="0" w:firstColumn="1" w:lastColumn="0" w:noHBand="0" w:noVBand="1"/>
                  </w:tblPr>
                  <w:tblGrid>
                    <w:gridCol w:w="150"/>
                    <w:gridCol w:w="9660"/>
                    <w:gridCol w:w="150"/>
                  </w:tblGrid>
                  <w:tr w:rsidR="00763B09">
                    <w:trPr>
                      <w:trHeight w:val="300"/>
                      <w:tblCellSpacing w:w="0" w:type="dxa"/>
                    </w:trPr>
                    <w:tc>
                      <w:tcPr>
                        <w:tcW w:w="150" w:type="dxa"/>
                        <w:shd w:val="clear" w:color="auto" w:fill="ADA6A1"/>
                        <w:vAlign w:val="center"/>
                        <w:hideMark/>
                      </w:tcPr>
                      <w:p w:rsidR="00763B09" w:rsidRDefault="00763B09">
                        <w:pPr>
                          <w:rPr>
                            <w:rFonts w:ascii="Times New Roman" w:eastAsia="Times New Roman" w:hAnsi="Times New Roman" w:cs="Times New Roman"/>
                            <w:sz w:val="20"/>
                            <w:szCs w:val="20"/>
                          </w:rPr>
                        </w:pPr>
                      </w:p>
                    </w:tc>
                    <w:tc>
                      <w:tcPr>
                        <w:tcW w:w="9660" w:type="dxa"/>
                        <w:shd w:val="clear" w:color="auto" w:fill="ADA6A1"/>
                        <w:vAlign w:val="center"/>
                        <w:hideMark/>
                      </w:tcPr>
                      <w:p w:rsidR="00763B09" w:rsidRDefault="00763B09">
                        <w:pPr>
                          <w:rPr>
                            <w:rFonts w:ascii="Times New Roman" w:eastAsia="Times New Roman" w:hAnsi="Times New Roman" w:cs="Times New Roman"/>
                            <w:sz w:val="20"/>
                            <w:szCs w:val="20"/>
                          </w:rPr>
                        </w:pPr>
                      </w:p>
                    </w:tc>
                    <w:tc>
                      <w:tcPr>
                        <w:tcW w:w="150" w:type="dxa"/>
                        <w:shd w:val="clear" w:color="auto" w:fill="ADA6A1"/>
                        <w:vAlign w:val="center"/>
                        <w:hideMark/>
                      </w:tcPr>
                      <w:p w:rsidR="00763B09" w:rsidRDefault="00763B09">
                        <w:pPr>
                          <w:rPr>
                            <w:rFonts w:ascii="Times New Roman" w:eastAsia="Times New Roman" w:hAnsi="Times New Roman" w:cs="Times New Roman"/>
                            <w:sz w:val="20"/>
                            <w:szCs w:val="20"/>
                          </w:rPr>
                        </w:pPr>
                      </w:p>
                    </w:tc>
                  </w:tr>
                  <w:tr w:rsidR="00763B09">
                    <w:trPr>
                      <w:tblCellSpacing w:w="0" w:type="dxa"/>
                    </w:trPr>
                    <w:tc>
                      <w:tcPr>
                        <w:tcW w:w="150" w:type="dxa"/>
                        <w:shd w:val="clear" w:color="auto" w:fill="EEEEEE"/>
                        <w:vAlign w:val="center"/>
                        <w:hideMark/>
                      </w:tcPr>
                      <w:p w:rsidR="00763B09" w:rsidRDefault="00763B09">
                        <w:pPr>
                          <w:rPr>
                            <w:rFonts w:ascii="Times New Roman" w:eastAsia="Times New Roman" w:hAnsi="Times New Roman" w:cs="Times New Roman"/>
                            <w:sz w:val="20"/>
                            <w:szCs w:val="20"/>
                          </w:rPr>
                        </w:pPr>
                      </w:p>
                    </w:tc>
                    <w:tc>
                      <w:tcPr>
                        <w:tcW w:w="9660" w:type="dxa"/>
                        <w:shd w:val="clear" w:color="auto" w:fill="EEEEEE"/>
                        <w:vAlign w:val="center"/>
                        <w:hideMark/>
                      </w:tcPr>
                      <w:p w:rsidR="00763B09" w:rsidRDefault="00763B09">
                        <w:pPr>
                          <w:rPr>
                            <w:rFonts w:ascii="Times New Roman" w:eastAsia="Times New Roman" w:hAnsi="Times New Roman" w:cs="Times New Roman"/>
                            <w:sz w:val="20"/>
                            <w:szCs w:val="20"/>
                          </w:rPr>
                        </w:pPr>
                      </w:p>
                    </w:tc>
                    <w:tc>
                      <w:tcPr>
                        <w:tcW w:w="150" w:type="dxa"/>
                        <w:shd w:val="clear" w:color="auto" w:fill="EEEEEE"/>
                        <w:vAlign w:val="center"/>
                        <w:hideMark/>
                      </w:tcPr>
                      <w:p w:rsidR="00763B09" w:rsidRDefault="00763B09">
                        <w:pPr>
                          <w:rPr>
                            <w:rFonts w:ascii="Times New Roman" w:eastAsia="Times New Roman" w:hAnsi="Times New Roman" w:cs="Times New Roman"/>
                            <w:sz w:val="20"/>
                            <w:szCs w:val="20"/>
                          </w:rPr>
                        </w:pPr>
                      </w:p>
                    </w:tc>
                  </w:tr>
                  <w:tr w:rsidR="00763B09">
                    <w:trPr>
                      <w:tblCellSpacing w:w="0" w:type="dxa"/>
                    </w:trPr>
                    <w:tc>
                      <w:tcPr>
                        <w:tcW w:w="150" w:type="dxa"/>
                        <w:shd w:val="clear" w:color="auto" w:fill="EEEEEE"/>
                        <w:vAlign w:val="center"/>
                        <w:hideMark/>
                      </w:tcPr>
                      <w:p w:rsidR="00763B09" w:rsidRDefault="00763B09">
                        <w:pPr>
                          <w:rPr>
                            <w:rFonts w:ascii="Times New Roman" w:eastAsia="Times New Roman" w:hAnsi="Times New Roman" w:cs="Times New Roman"/>
                            <w:sz w:val="20"/>
                            <w:szCs w:val="20"/>
                          </w:rPr>
                        </w:pPr>
                      </w:p>
                    </w:tc>
                    <w:tc>
                      <w:tcPr>
                        <w:tcW w:w="0" w:type="auto"/>
                        <w:shd w:val="clear" w:color="auto" w:fill="EEEEEE"/>
                        <w:vAlign w:val="center"/>
                        <w:hideMark/>
                      </w:tcPr>
                      <w:tbl>
                        <w:tblPr>
                          <w:tblW w:w="9660" w:type="dxa"/>
                          <w:tblCellSpacing w:w="0" w:type="dxa"/>
                          <w:tblCellMar>
                            <w:left w:w="0" w:type="dxa"/>
                            <w:right w:w="0" w:type="dxa"/>
                          </w:tblCellMar>
                          <w:tblLook w:val="04A0" w:firstRow="1" w:lastRow="0" w:firstColumn="1" w:lastColumn="0" w:noHBand="0" w:noVBand="1"/>
                        </w:tblPr>
                        <w:tblGrid>
                          <w:gridCol w:w="9660"/>
                        </w:tblGrid>
                        <w:tr w:rsidR="00763B09">
                          <w:trPr>
                            <w:tblCellSpacing w:w="0" w:type="dxa"/>
                          </w:trPr>
                          <w:tc>
                            <w:tcPr>
                              <w:tcW w:w="9660" w:type="dxa"/>
                              <w:hideMark/>
                            </w:tcPr>
                            <w:p w:rsidR="00763B09" w:rsidRDefault="00763B09">
                              <w:pPr>
                                <w:pStyle w:val="PreformattatoHTML"/>
                                <w:spacing w:after="120"/>
                                <w:ind w:firstLine="284"/>
                                <w:jc w:val="both"/>
                                <w:rPr>
                                  <w:rFonts w:ascii="Arial" w:hAnsi="Arial" w:cs="Arial"/>
                                  <w:sz w:val="18"/>
                                  <w:szCs w:val="18"/>
                                  <w:highlight w:val="yellow"/>
                                </w:rPr>
                              </w:pPr>
                              <w:r>
                                <w:rPr>
                                  <w:rFonts w:ascii="Arial" w:hAnsi="Arial" w:cs="Arial"/>
                                  <w:sz w:val="18"/>
                                  <w:szCs w:val="18"/>
                                  <w:highlight w:val="yellow"/>
                                </w:rPr>
                                <w:br/>
                              </w:r>
                            </w:p>
                            <w:p w:rsidR="00763B09" w:rsidRDefault="00763B09" w:rsidP="00763B09">
                              <w:pPr>
                                <w:pStyle w:val="PreformattatoHTML"/>
                                <w:spacing w:after="120"/>
                                <w:jc w:val="both"/>
                                <w:rPr>
                                  <w:rFonts w:ascii="Arial" w:hAnsi="Arial" w:cs="Arial"/>
                                  <w:sz w:val="18"/>
                                  <w:szCs w:val="18"/>
                                </w:rPr>
                              </w:pPr>
                              <w:bookmarkStart w:id="0" w:name="_GoBack"/>
                              <w:bookmarkEnd w:id="0"/>
                              <w:r>
                                <w:rPr>
                                  <w:rFonts w:ascii="Arial" w:hAnsi="Arial" w:cs="Arial"/>
                                  <w:sz w:val="18"/>
                                  <w:szCs w:val="18"/>
                                </w:rPr>
                                <w:t>In data 3 aprile u.s., il Senato ha approvato definitivamente il Disegno di Legge n. 844 recante “Disposizioni in materia di azione di classe”.</w:t>
                              </w:r>
                            </w:p>
                            <w:p w:rsidR="00763B09" w:rsidRDefault="00763B09">
                              <w:pPr>
                                <w:pStyle w:val="PreformattatoHTML"/>
                                <w:spacing w:after="120"/>
                                <w:jc w:val="both"/>
                                <w:rPr>
                                  <w:rFonts w:ascii="Calibri" w:hAnsi="Calibri" w:cs="Calibri"/>
                                  <w:sz w:val="22"/>
                                  <w:szCs w:val="22"/>
                                  <w:highlight w:val="yellow"/>
                                </w:rPr>
                              </w:pPr>
                              <w:r>
                                <w:rPr>
                                  <w:rFonts w:ascii="Arial" w:hAnsi="Arial" w:cs="Arial"/>
                                  <w:sz w:val="18"/>
                                  <w:szCs w:val="18"/>
                                </w:rPr>
                                <w:t>Il provvedimento ora attende di essere pubblicato in G.U. ed entrerà in vigore dopo un anno dalla pubblicazione in G.U. per permettere al Ministero della Giustizia di attuare gli accorgimenti tecnici necessari nei sistemi informatici ai fini del compimento delle attività processuali con modalità telematiche.</w:t>
                              </w:r>
                            </w:p>
                          </w:tc>
                        </w:tr>
                      </w:tbl>
                      <w:p w:rsidR="00763B09" w:rsidRDefault="00763B09">
                        <w:pPr>
                          <w:rPr>
                            <w:rFonts w:ascii="Times New Roman" w:eastAsia="Times New Roman" w:hAnsi="Times New Roman" w:cs="Times New Roman"/>
                            <w:sz w:val="20"/>
                            <w:szCs w:val="20"/>
                          </w:rPr>
                        </w:pPr>
                      </w:p>
                    </w:tc>
                    <w:tc>
                      <w:tcPr>
                        <w:tcW w:w="150" w:type="dxa"/>
                        <w:shd w:val="clear" w:color="auto" w:fill="EEEEEE"/>
                        <w:vAlign w:val="center"/>
                        <w:hideMark/>
                      </w:tcPr>
                      <w:p w:rsidR="00763B09" w:rsidRDefault="00763B09">
                        <w:pPr>
                          <w:rPr>
                            <w:rFonts w:ascii="Times New Roman" w:eastAsia="Times New Roman" w:hAnsi="Times New Roman" w:cs="Times New Roman"/>
                            <w:sz w:val="20"/>
                            <w:szCs w:val="20"/>
                          </w:rPr>
                        </w:pPr>
                      </w:p>
                    </w:tc>
                  </w:tr>
                  <w:tr w:rsidR="00763B09">
                    <w:trPr>
                      <w:tblCellSpacing w:w="0" w:type="dxa"/>
                    </w:trPr>
                    <w:tc>
                      <w:tcPr>
                        <w:tcW w:w="150" w:type="dxa"/>
                        <w:shd w:val="clear" w:color="auto" w:fill="EEEEEE"/>
                        <w:vAlign w:val="center"/>
                        <w:hideMark/>
                      </w:tcPr>
                      <w:p w:rsidR="00763B09" w:rsidRDefault="00763B09">
                        <w:pPr>
                          <w:rPr>
                            <w:rFonts w:ascii="Times New Roman" w:eastAsia="Times New Roman" w:hAnsi="Times New Roman" w:cs="Times New Roman"/>
                            <w:sz w:val="20"/>
                            <w:szCs w:val="20"/>
                          </w:rPr>
                        </w:pPr>
                      </w:p>
                    </w:tc>
                    <w:tc>
                      <w:tcPr>
                        <w:tcW w:w="9660" w:type="dxa"/>
                        <w:shd w:val="clear" w:color="auto" w:fill="EEEEEE"/>
                        <w:vAlign w:val="center"/>
                        <w:hideMark/>
                      </w:tcPr>
                      <w:p w:rsidR="00763B09" w:rsidRDefault="00763B09">
                        <w:pPr>
                          <w:rPr>
                            <w:rFonts w:ascii="Times New Roman" w:eastAsia="Times New Roman" w:hAnsi="Times New Roman" w:cs="Times New Roman"/>
                            <w:sz w:val="20"/>
                            <w:szCs w:val="20"/>
                          </w:rPr>
                        </w:pPr>
                      </w:p>
                    </w:tc>
                    <w:tc>
                      <w:tcPr>
                        <w:tcW w:w="150" w:type="dxa"/>
                        <w:shd w:val="clear" w:color="auto" w:fill="EEEEEE"/>
                        <w:vAlign w:val="center"/>
                        <w:hideMark/>
                      </w:tcPr>
                      <w:p w:rsidR="00763B09" w:rsidRDefault="00763B09">
                        <w:pPr>
                          <w:rPr>
                            <w:rFonts w:ascii="Times New Roman" w:eastAsia="Times New Roman" w:hAnsi="Times New Roman" w:cs="Times New Roman"/>
                            <w:sz w:val="20"/>
                            <w:szCs w:val="20"/>
                          </w:rPr>
                        </w:pPr>
                      </w:p>
                    </w:tc>
                  </w:tr>
                </w:tbl>
                <w:p w:rsidR="00763B09" w:rsidRDefault="00763B09">
                  <w:pPr>
                    <w:rPr>
                      <w:rFonts w:ascii="Times New Roman" w:eastAsia="Times New Roman" w:hAnsi="Times New Roman" w:cs="Times New Roman"/>
                      <w:sz w:val="20"/>
                      <w:szCs w:val="20"/>
                    </w:rPr>
                  </w:pPr>
                </w:p>
              </w:tc>
              <w:tc>
                <w:tcPr>
                  <w:tcW w:w="270" w:type="dxa"/>
                  <w:shd w:val="clear" w:color="auto" w:fill="FFFFFF"/>
                  <w:vAlign w:val="center"/>
                  <w:hideMark/>
                </w:tcPr>
                <w:p w:rsidR="00763B09" w:rsidRDefault="00763B09">
                  <w:pPr>
                    <w:rPr>
                      <w:rFonts w:ascii="Times New Roman" w:eastAsia="Times New Roman" w:hAnsi="Times New Roman" w:cs="Times New Roman"/>
                      <w:sz w:val="20"/>
                      <w:szCs w:val="20"/>
                    </w:rPr>
                  </w:pPr>
                </w:p>
              </w:tc>
            </w:tr>
          </w:tbl>
          <w:p w:rsidR="00763B09" w:rsidRDefault="00763B09">
            <w:pPr>
              <w:spacing w:line="240" w:lineRule="atLeast"/>
              <w:rPr>
                <w:rFonts w:ascii="Verdana" w:hAnsi="Verdana"/>
                <w:vanish/>
                <w:sz w:val="17"/>
                <w:szCs w:val="17"/>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0500"/>
            </w:tblGrid>
            <w:tr w:rsidR="00763B09">
              <w:trPr>
                <w:tblCellSpacing w:w="15" w:type="dxa"/>
                <w:hidden/>
              </w:trPr>
              <w:tc>
                <w:tcPr>
                  <w:tcW w:w="0" w:type="auto"/>
                  <w:shd w:val="clear" w:color="auto" w:fill="FFFFFF"/>
                  <w:tcMar>
                    <w:top w:w="15" w:type="dxa"/>
                    <w:left w:w="15" w:type="dxa"/>
                    <w:bottom w:w="15" w:type="dxa"/>
                    <w:right w:w="15" w:type="dxa"/>
                  </w:tcMar>
                  <w:vAlign w:val="center"/>
                  <w:hideMark/>
                </w:tcPr>
                <w:p w:rsidR="00763B09" w:rsidRDefault="00763B09">
                  <w:pPr>
                    <w:rPr>
                      <w:rFonts w:ascii="Verdana" w:hAnsi="Verdana"/>
                      <w:vanish/>
                      <w:sz w:val="17"/>
                      <w:szCs w:val="17"/>
                    </w:rPr>
                  </w:pPr>
                </w:p>
              </w:tc>
            </w:tr>
          </w:tbl>
          <w:p w:rsidR="00763B09" w:rsidRDefault="00763B09">
            <w:pPr>
              <w:spacing w:line="240" w:lineRule="atLeast"/>
              <w:rPr>
                <w:rFonts w:ascii="Verdana" w:hAnsi="Verdana"/>
                <w:vanish/>
                <w:sz w:val="17"/>
                <w:szCs w:val="17"/>
              </w:rPr>
            </w:pPr>
          </w:p>
          <w:tbl>
            <w:tblPr>
              <w:tblW w:w="10500" w:type="dxa"/>
              <w:tblCellSpacing w:w="0" w:type="dxa"/>
              <w:shd w:val="clear" w:color="auto" w:fill="FFFFFF"/>
              <w:tblCellMar>
                <w:left w:w="0" w:type="dxa"/>
                <w:right w:w="0" w:type="dxa"/>
              </w:tblCellMar>
              <w:tblLook w:val="04A0" w:firstRow="1" w:lastRow="0" w:firstColumn="1" w:lastColumn="0" w:noHBand="0" w:noVBand="1"/>
            </w:tblPr>
            <w:tblGrid>
              <w:gridCol w:w="142"/>
              <w:gridCol w:w="10088"/>
              <w:gridCol w:w="270"/>
            </w:tblGrid>
            <w:tr w:rsidR="00763B09">
              <w:trPr>
                <w:trHeight w:val="132"/>
                <w:tblCellSpacing w:w="0" w:type="dxa"/>
              </w:trPr>
              <w:tc>
                <w:tcPr>
                  <w:tcW w:w="142" w:type="dxa"/>
                  <w:shd w:val="clear" w:color="auto" w:fill="FFFFFF"/>
                  <w:vAlign w:val="center"/>
                </w:tcPr>
                <w:p w:rsidR="00763B09" w:rsidRDefault="00763B09">
                  <w:pPr>
                    <w:rPr>
                      <w:rFonts w:ascii="Verdana" w:hAnsi="Verdana"/>
                      <w:color w:val="000000"/>
                      <w:sz w:val="17"/>
                      <w:szCs w:val="17"/>
                    </w:rPr>
                  </w:pPr>
                </w:p>
              </w:tc>
              <w:tc>
                <w:tcPr>
                  <w:tcW w:w="10088" w:type="dxa"/>
                  <w:shd w:val="clear" w:color="auto" w:fill="FFFFFF"/>
                </w:tcPr>
                <w:p w:rsidR="00763B09" w:rsidRDefault="00763B09">
                  <w:pPr>
                    <w:spacing w:after="80"/>
                    <w:ind w:left="357"/>
                    <w:rPr>
                      <w:rFonts w:ascii="Arial" w:hAnsi="Arial" w:cs="Arial"/>
                      <w:sz w:val="18"/>
                      <w:szCs w:val="18"/>
                    </w:rPr>
                  </w:pPr>
                </w:p>
                <w:p w:rsidR="00763B09" w:rsidRDefault="00763B09">
                  <w:pPr>
                    <w:pStyle w:val="PreformattatoHTML"/>
                    <w:spacing w:after="120"/>
                    <w:rPr>
                      <w:rFonts w:ascii="Arial" w:hAnsi="Arial" w:cs="Arial"/>
                      <w:sz w:val="18"/>
                      <w:szCs w:val="18"/>
                    </w:rPr>
                  </w:pPr>
                  <w:r>
                    <w:rPr>
                      <w:rFonts w:ascii="Arial" w:hAnsi="Arial" w:cs="Arial"/>
                      <w:sz w:val="18"/>
                      <w:szCs w:val="18"/>
                    </w:rPr>
                    <w:t>L’azione di classe è stata introdotta nel nostro ordinamento con la Legge 24 dicembre 2007, n. 244 (Legge Finanziaria 2008).</w:t>
                  </w:r>
                </w:p>
                <w:p w:rsidR="00763B09" w:rsidRDefault="00763B09">
                  <w:pPr>
                    <w:pStyle w:val="PreformattatoHTML"/>
                    <w:spacing w:after="120"/>
                    <w:rPr>
                      <w:rFonts w:ascii="Arial" w:hAnsi="Arial" w:cs="Arial"/>
                      <w:sz w:val="18"/>
                      <w:szCs w:val="18"/>
                    </w:rPr>
                  </w:pPr>
                  <w:r>
                    <w:rPr>
                      <w:rFonts w:ascii="Arial" w:hAnsi="Arial" w:cs="Arial"/>
                      <w:sz w:val="18"/>
                      <w:szCs w:val="18"/>
                    </w:rPr>
                    <w:t>La nuova disciplina è composta da sette articoli che riformano l'attuale disciplina, contenuta nell’art. 140-</w:t>
                  </w:r>
                  <w:r>
                    <w:rPr>
                      <w:rFonts w:ascii="Arial" w:hAnsi="Arial" w:cs="Arial"/>
                      <w:i/>
                      <w:iCs/>
                      <w:sz w:val="18"/>
                      <w:szCs w:val="18"/>
                    </w:rPr>
                    <w:t>bis</w:t>
                  </w:r>
                  <w:r>
                    <w:rPr>
                      <w:rFonts w:ascii="Arial" w:hAnsi="Arial" w:cs="Arial"/>
                      <w:sz w:val="18"/>
                      <w:szCs w:val="18"/>
                    </w:rPr>
                    <w:t>, Codice del Consumo, “spostandola” dal Codice del Consumo al Codice di Procedura Civile in cui si prevede l’introduzione del nuovo Titolo VIII-</w:t>
                  </w:r>
                  <w:r>
                    <w:rPr>
                      <w:rFonts w:ascii="Arial" w:hAnsi="Arial" w:cs="Arial"/>
                      <w:i/>
                      <w:iCs/>
                      <w:sz w:val="18"/>
                      <w:szCs w:val="18"/>
                    </w:rPr>
                    <w:t>bis</w:t>
                  </w:r>
                  <w:r>
                    <w:rPr>
                      <w:rFonts w:ascii="Arial" w:hAnsi="Arial" w:cs="Arial"/>
                      <w:sz w:val="18"/>
                      <w:szCs w:val="18"/>
                    </w:rPr>
                    <w:t xml:space="preserve"> “Dei procedimenti collettivi”, composto da 15 nuovi articoli.</w:t>
                  </w:r>
                </w:p>
                <w:p w:rsidR="00763B09" w:rsidRDefault="00763B09">
                  <w:pPr>
                    <w:pStyle w:val="PreformattatoHTML"/>
                    <w:spacing w:after="120"/>
                    <w:rPr>
                      <w:rFonts w:ascii="Arial" w:hAnsi="Arial" w:cs="Arial"/>
                      <w:sz w:val="18"/>
                      <w:szCs w:val="18"/>
                    </w:rPr>
                  </w:pPr>
                  <w:r>
                    <w:rPr>
                      <w:rFonts w:ascii="Arial" w:hAnsi="Arial" w:cs="Arial"/>
                      <w:sz w:val="18"/>
                      <w:szCs w:val="18"/>
                    </w:rPr>
                    <w:t xml:space="preserve">Conseguenza è che l’azione di classe non è più legata al consumatore ma ne prescinde. </w:t>
                  </w:r>
                  <w:proofErr w:type="gramStart"/>
                  <w:r>
                    <w:rPr>
                      <w:rFonts w:ascii="Arial" w:hAnsi="Arial" w:cs="Arial"/>
                      <w:sz w:val="18"/>
                      <w:szCs w:val="18"/>
                    </w:rPr>
                    <w:t>Infatti</w:t>
                  </w:r>
                  <w:proofErr w:type="gramEnd"/>
                  <w:r>
                    <w:rPr>
                      <w:rFonts w:ascii="Arial" w:hAnsi="Arial" w:cs="Arial"/>
                      <w:sz w:val="18"/>
                      <w:szCs w:val="18"/>
                    </w:rPr>
                    <w:t xml:space="preserve"> l’azione sarà esperibile da tutti coloro che avanzino pretese risarcitorie in seguito alla lesione di </w:t>
                  </w:r>
                  <w:r>
                    <w:rPr>
                      <w:rFonts w:ascii="Arial" w:hAnsi="Arial" w:cs="Arial"/>
                      <w:b/>
                      <w:bCs/>
                      <w:sz w:val="18"/>
                      <w:szCs w:val="18"/>
                    </w:rPr>
                    <w:t>diritti individuali omogenei</w:t>
                  </w:r>
                  <w:r>
                    <w:rPr>
                      <w:rFonts w:ascii="Arial" w:hAnsi="Arial" w:cs="Arial"/>
                      <w:sz w:val="18"/>
                      <w:szCs w:val="18"/>
                    </w:rPr>
                    <w:t xml:space="preserve">. </w:t>
                  </w:r>
                </w:p>
                <w:p w:rsidR="00763B09" w:rsidRDefault="00763B09">
                  <w:pPr>
                    <w:pStyle w:val="PreformattatoHTML"/>
                    <w:spacing w:after="120"/>
                    <w:rPr>
                      <w:rFonts w:ascii="Arial" w:hAnsi="Arial" w:cs="Arial"/>
                      <w:sz w:val="18"/>
                      <w:szCs w:val="18"/>
                    </w:rPr>
                  </w:pPr>
                  <w:r>
                    <w:rPr>
                      <w:rFonts w:ascii="Arial" w:hAnsi="Arial" w:cs="Arial"/>
                      <w:sz w:val="18"/>
                      <w:szCs w:val="18"/>
                      <w:u w:val="single"/>
                    </w:rPr>
                    <w:t>La legittimazione ad agire sarà di ciascun componente della classe e delle organizzazioni o associazioni senza scopo di lucro tra i cui obiettivi statutari sia prevista la tutela dei diritti individuali omogenei che sono iscritte in un elenco tenuto presso il Ministero della Giustizia</w:t>
                  </w:r>
                  <w:r>
                    <w:rPr>
                      <w:rFonts w:ascii="Arial" w:hAnsi="Arial" w:cs="Arial"/>
                      <w:sz w:val="18"/>
                      <w:szCs w:val="18"/>
                    </w:rPr>
                    <w:t>.</w:t>
                  </w:r>
                </w:p>
                <w:p w:rsidR="00763B09" w:rsidRDefault="00763B09">
                  <w:pPr>
                    <w:pStyle w:val="PreformattatoHTML"/>
                    <w:spacing w:after="120"/>
                    <w:rPr>
                      <w:rFonts w:ascii="Arial" w:hAnsi="Arial" w:cs="Arial"/>
                      <w:sz w:val="18"/>
                      <w:szCs w:val="18"/>
                    </w:rPr>
                  </w:pPr>
                  <w:r>
                    <w:rPr>
                      <w:rFonts w:ascii="Arial" w:hAnsi="Arial" w:cs="Arial"/>
                      <w:sz w:val="18"/>
                      <w:szCs w:val="18"/>
                      <w:u w:val="single"/>
                    </w:rPr>
                    <w:t xml:space="preserve">La </w:t>
                  </w:r>
                  <w:r>
                    <w:rPr>
                      <w:rFonts w:ascii="Arial" w:hAnsi="Arial" w:cs="Arial"/>
                      <w:i/>
                      <w:iCs/>
                      <w:sz w:val="18"/>
                      <w:szCs w:val="18"/>
                      <w:u w:val="single"/>
                    </w:rPr>
                    <w:t>class action</w:t>
                  </w:r>
                  <w:r>
                    <w:rPr>
                      <w:rFonts w:ascii="Arial" w:hAnsi="Arial" w:cs="Arial"/>
                      <w:sz w:val="18"/>
                      <w:szCs w:val="18"/>
                      <w:u w:val="single"/>
                    </w:rPr>
                    <w:t xml:space="preserve"> può essere esperita contro imprese e gestori di servizi pubblici o di pubblica utilità in presenza di atti e comportamenti posti in essere nello svolgimento delle loro rispettive attività.</w:t>
                  </w:r>
                  <w:r>
                    <w:rPr>
                      <w:rFonts w:ascii="Arial" w:hAnsi="Arial" w:cs="Arial"/>
                      <w:sz w:val="18"/>
                      <w:szCs w:val="18"/>
                    </w:rPr>
                    <w:t xml:space="preserve"> Scompare quindi l’indicazione delle fattispecie lesive su cui si basa la </w:t>
                  </w:r>
                  <w:r>
                    <w:rPr>
                      <w:rFonts w:ascii="Arial" w:hAnsi="Arial" w:cs="Arial"/>
                      <w:i/>
                      <w:iCs/>
                      <w:sz w:val="18"/>
                      <w:szCs w:val="18"/>
                    </w:rPr>
                    <w:t>class action</w:t>
                  </w:r>
                  <w:r>
                    <w:rPr>
                      <w:rFonts w:ascii="Arial" w:hAnsi="Arial" w:cs="Arial"/>
                      <w:sz w:val="18"/>
                      <w:szCs w:val="18"/>
                    </w:rPr>
                    <w:t xml:space="preserve"> nell’attuale art. 140-bis, Codice del Consumo e si passa ad un più ampio richiamo ad atti e comportamenti posti in essere nello svolgimento delle attività di impresa. </w:t>
                  </w:r>
                </w:p>
                <w:p w:rsidR="00763B09" w:rsidRDefault="00763B09">
                  <w:pPr>
                    <w:pStyle w:val="PreformattatoHTML"/>
                    <w:spacing w:after="120"/>
                    <w:rPr>
                      <w:rFonts w:ascii="Arial" w:hAnsi="Arial" w:cs="Arial"/>
                      <w:sz w:val="18"/>
                      <w:szCs w:val="18"/>
                    </w:rPr>
                  </w:pPr>
                  <w:r>
                    <w:rPr>
                      <w:rFonts w:ascii="Arial" w:hAnsi="Arial" w:cs="Arial"/>
                      <w:sz w:val="18"/>
                      <w:szCs w:val="18"/>
                    </w:rPr>
                    <w:t xml:space="preserve">Una delle maggiori novità riguarda anche </w:t>
                  </w:r>
                  <w:r>
                    <w:rPr>
                      <w:rFonts w:ascii="Arial" w:hAnsi="Arial" w:cs="Arial"/>
                      <w:sz w:val="18"/>
                      <w:szCs w:val="18"/>
                      <w:u w:val="single"/>
                    </w:rPr>
                    <w:t>l’adesione</w:t>
                  </w:r>
                  <w:r>
                    <w:rPr>
                      <w:rFonts w:ascii="Arial" w:hAnsi="Arial" w:cs="Arial"/>
                      <w:sz w:val="18"/>
                      <w:szCs w:val="18"/>
                    </w:rPr>
                    <w:t xml:space="preserve"> all’azione che potrà avvenire entro determinati termini </w:t>
                  </w:r>
                  <w:r>
                    <w:rPr>
                      <w:rFonts w:ascii="Arial" w:hAnsi="Arial" w:cs="Arial"/>
                      <w:sz w:val="18"/>
                      <w:szCs w:val="18"/>
                      <w:u w:val="single"/>
                    </w:rPr>
                    <w:t>non solo nella fase successiva all’ordinanza ma anche in quella successiva alla sentenza</w:t>
                  </w:r>
                  <w:r>
                    <w:rPr>
                      <w:rFonts w:ascii="Arial" w:hAnsi="Arial" w:cs="Arial"/>
                      <w:sz w:val="18"/>
                      <w:szCs w:val="18"/>
                    </w:rPr>
                    <w:t xml:space="preserve">. L’adesione all’azione di classe si propone mediante inserimento della relativa domanda nel fascicolo informatico, avvalendosi </w:t>
                  </w:r>
                  <w:proofErr w:type="gramStart"/>
                  <w:r>
                    <w:rPr>
                      <w:rFonts w:ascii="Arial" w:hAnsi="Arial" w:cs="Arial"/>
                      <w:sz w:val="18"/>
                      <w:szCs w:val="18"/>
                    </w:rPr>
                    <w:t>di  un’area</w:t>
                  </w:r>
                  <w:proofErr w:type="gramEnd"/>
                  <w:r>
                    <w:rPr>
                      <w:rFonts w:ascii="Arial" w:hAnsi="Arial" w:cs="Arial"/>
                      <w:sz w:val="18"/>
                      <w:szCs w:val="18"/>
                    </w:rPr>
                    <w:t xml:space="preserve"> del portale dei servizi telematici.</w:t>
                  </w:r>
                </w:p>
                <w:p w:rsidR="00763B09" w:rsidRDefault="00763B09">
                  <w:pPr>
                    <w:pStyle w:val="PreformattatoHTML"/>
                    <w:spacing w:after="120"/>
                    <w:rPr>
                      <w:rFonts w:ascii="Arial" w:hAnsi="Arial" w:cs="Arial"/>
                      <w:sz w:val="18"/>
                      <w:szCs w:val="18"/>
                    </w:rPr>
                  </w:pPr>
                  <w:r>
                    <w:rPr>
                      <w:rFonts w:ascii="Arial" w:hAnsi="Arial" w:cs="Arial"/>
                      <w:sz w:val="18"/>
                      <w:szCs w:val="18"/>
                    </w:rPr>
                    <w:t xml:space="preserve">Il giudice competente a conoscere dell’azione di classe è una </w:t>
                  </w:r>
                  <w:r>
                    <w:rPr>
                      <w:rFonts w:ascii="Arial" w:hAnsi="Arial" w:cs="Arial"/>
                      <w:b/>
                      <w:bCs/>
                      <w:sz w:val="18"/>
                      <w:szCs w:val="18"/>
                    </w:rPr>
                    <w:t>sezione del Tribunale specializzata in materia di impresa</w:t>
                  </w:r>
                  <w:r>
                    <w:rPr>
                      <w:rFonts w:ascii="Arial" w:hAnsi="Arial" w:cs="Arial"/>
                      <w:sz w:val="18"/>
                      <w:szCs w:val="18"/>
                    </w:rPr>
                    <w:t xml:space="preserve">. </w:t>
                  </w:r>
                </w:p>
                <w:p w:rsidR="00763B09" w:rsidRDefault="00763B09">
                  <w:pPr>
                    <w:pStyle w:val="PreformattatoHTML"/>
                    <w:spacing w:after="120"/>
                    <w:rPr>
                      <w:rFonts w:ascii="Arial" w:hAnsi="Arial" w:cs="Arial"/>
                      <w:sz w:val="18"/>
                      <w:szCs w:val="18"/>
                    </w:rPr>
                  </w:pPr>
                  <w:r>
                    <w:rPr>
                      <w:rFonts w:ascii="Arial" w:hAnsi="Arial" w:cs="Arial"/>
                      <w:sz w:val="18"/>
                      <w:szCs w:val="18"/>
                    </w:rPr>
                    <w:t xml:space="preserve">La </w:t>
                  </w:r>
                  <w:r>
                    <w:rPr>
                      <w:rFonts w:ascii="Arial" w:hAnsi="Arial" w:cs="Arial"/>
                      <w:i/>
                      <w:iCs/>
                      <w:sz w:val="18"/>
                      <w:szCs w:val="18"/>
                    </w:rPr>
                    <w:t>class action</w:t>
                  </w:r>
                  <w:r>
                    <w:rPr>
                      <w:rFonts w:ascii="Arial" w:hAnsi="Arial" w:cs="Arial"/>
                      <w:sz w:val="18"/>
                      <w:szCs w:val="18"/>
                    </w:rPr>
                    <w:t xml:space="preserve"> si articola in linea di massima in 3 fasi:</w:t>
                  </w:r>
                </w:p>
                <w:p w:rsidR="00763B09" w:rsidRDefault="00763B09" w:rsidP="006F0911">
                  <w:pPr>
                    <w:pStyle w:val="PreformattatoHTML"/>
                    <w:numPr>
                      <w:ilvl w:val="0"/>
                      <w:numId w:val="1"/>
                    </w:numPr>
                    <w:spacing w:after="120"/>
                    <w:ind w:left="284" w:hanging="284"/>
                    <w:rPr>
                      <w:rFonts w:ascii="Arial" w:hAnsi="Arial" w:cs="Arial"/>
                      <w:sz w:val="18"/>
                      <w:szCs w:val="18"/>
                    </w:rPr>
                  </w:pPr>
                  <w:r>
                    <w:rPr>
                      <w:rFonts w:ascii="Arial" w:hAnsi="Arial" w:cs="Arial"/>
                      <w:sz w:val="18"/>
                      <w:szCs w:val="18"/>
                    </w:rPr>
                    <w:t>ammissibilità dell’azione;</w:t>
                  </w:r>
                </w:p>
                <w:p w:rsidR="00763B09" w:rsidRDefault="00763B09" w:rsidP="006F0911">
                  <w:pPr>
                    <w:pStyle w:val="PreformattatoHTML"/>
                    <w:numPr>
                      <w:ilvl w:val="0"/>
                      <w:numId w:val="1"/>
                    </w:numPr>
                    <w:spacing w:after="120"/>
                    <w:ind w:left="284" w:hanging="284"/>
                    <w:rPr>
                      <w:rFonts w:ascii="Arial" w:hAnsi="Arial" w:cs="Arial"/>
                      <w:sz w:val="18"/>
                      <w:szCs w:val="18"/>
                    </w:rPr>
                  </w:pPr>
                  <w:r>
                    <w:rPr>
                      <w:rFonts w:ascii="Arial" w:hAnsi="Arial" w:cs="Arial"/>
                      <w:sz w:val="18"/>
                      <w:szCs w:val="18"/>
                    </w:rPr>
                    <w:t>la decisione sul merito;</w:t>
                  </w:r>
                </w:p>
                <w:p w:rsidR="00763B09" w:rsidRDefault="00763B09" w:rsidP="006F0911">
                  <w:pPr>
                    <w:pStyle w:val="PreformattatoHTML"/>
                    <w:numPr>
                      <w:ilvl w:val="0"/>
                      <w:numId w:val="1"/>
                    </w:numPr>
                    <w:spacing w:after="120"/>
                    <w:ind w:left="284" w:hanging="284"/>
                    <w:rPr>
                      <w:rFonts w:ascii="Arial" w:hAnsi="Arial" w:cs="Arial"/>
                      <w:sz w:val="18"/>
                      <w:szCs w:val="18"/>
                    </w:rPr>
                  </w:pPr>
                  <w:r>
                    <w:rPr>
                      <w:rFonts w:ascii="Arial" w:hAnsi="Arial" w:cs="Arial"/>
                      <w:sz w:val="18"/>
                      <w:szCs w:val="18"/>
                    </w:rPr>
                    <w:lastRenderedPageBreak/>
                    <w:t xml:space="preserve">la liquidazione delle somme a titolo di risarcimento del danno agli aderenti alla </w:t>
                  </w:r>
                  <w:r>
                    <w:rPr>
                      <w:rFonts w:ascii="Arial" w:hAnsi="Arial" w:cs="Arial"/>
                      <w:i/>
                      <w:iCs/>
                      <w:sz w:val="18"/>
                      <w:szCs w:val="18"/>
                    </w:rPr>
                    <w:t>class action.</w:t>
                  </w:r>
                </w:p>
                <w:p w:rsidR="00763B09" w:rsidRDefault="00763B09">
                  <w:pPr>
                    <w:pStyle w:val="PreformattatoHTML"/>
                    <w:spacing w:after="120"/>
                    <w:rPr>
                      <w:rFonts w:ascii="Arial" w:hAnsi="Arial" w:cs="Arial"/>
                      <w:sz w:val="18"/>
                      <w:szCs w:val="18"/>
                    </w:rPr>
                  </w:pPr>
                  <w:r>
                    <w:rPr>
                      <w:rFonts w:ascii="Arial" w:hAnsi="Arial" w:cs="Arial"/>
                      <w:sz w:val="18"/>
                      <w:szCs w:val="18"/>
                    </w:rPr>
                    <w:t>Il Disegno di Legge in questione regola inoltre l’azione inibitoria collettiva con la quale chiunque abbia interesse a bloccare atti e comportamenti posti in essere in pregiudizio di una pluralità di individui o enti, può chiedere l’ordine di cessazione o il divieto di reiterazione della condotta omissiva o commissiva.</w:t>
                  </w:r>
                </w:p>
                <w:p w:rsidR="00763B09" w:rsidRDefault="00763B09">
                  <w:pPr>
                    <w:spacing w:after="80"/>
                  </w:pPr>
                </w:p>
              </w:tc>
              <w:tc>
                <w:tcPr>
                  <w:tcW w:w="270" w:type="dxa"/>
                  <w:shd w:val="clear" w:color="auto" w:fill="FFFFFF"/>
                  <w:vAlign w:val="center"/>
                </w:tcPr>
                <w:p w:rsidR="00763B09" w:rsidRDefault="00763B09">
                  <w:pPr>
                    <w:rPr>
                      <w:rFonts w:ascii="Verdana" w:hAnsi="Verdana"/>
                      <w:color w:val="000000"/>
                      <w:sz w:val="17"/>
                      <w:szCs w:val="17"/>
                    </w:rPr>
                  </w:pPr>
                </w:p>
              </w:tc>
            </w:tr>
            <w:tr w:rsidR="00763B09" w:rsidRPr="00763B09">
              <w:trPr>
                <w:tblCellSpacing w:w="0" w:type="dxa"/>
              </w:trPr>
              <w:tc>
                <w:tcPr>
                  <w:tcW w:w="142" w:type="dxa"/>
                  <w:shd w:val="clear" w:color="auto" w:fill="FFFFFF"/>
                  <w:vAlign w:val="center"/>
                </w:tcPr>
                <w:p w:rsidR="00763B09" w:rsidRDefault="00763B09">
                  <w:pPr>
                    <w:spacing w:after="80"/>
                    <w:rPr>
                      <w:rFonts w:ascii="Verdana" w:hAnsi="Verdana"/>
                      <w:color w:val="000000"/>
                      <w:sz w:val="17"/>
                      <w:szCs w:val="17"/>
                    </w:rPr>
                  </w:pPr>
                </w:p>
              </w:tc>
              <w:tc>
                <w:tcPr>
                  <w:tcW w:w="10088" w:type="dxa"/>
                  <w:shd w:val="clear" w:color="auto" w:fill="FFFFFF"/>
                </w:tcPr>
                <w:tbl>
                  <w:tblPr>
                    <w:tblW w:w="9960" w:type="dxa"/>
                    <w:tblCellSpacing w:w="0" w:type="dxa"/>
                    <w:tblCellMar>
                      <w:left w:w="0" w:type="dxa"/>
                      <w:right w:w="0" w:type="dxa"/>
                    </w:tblCellMar>
                    <w:tblLook w:val="04A0" w:firstRow="1" w:lastRow="0" w:firstColumn="1" w:lastColumn="0" w:noHBand="0" w:noVBand="1"/>
                  </w:tblPr>
                  <w:tblGrid>
                    <w:gridCol w:w="151"/>
                    <w:gridCol w:w="9660"/>
                    <w:gridCol w:w="149"/>
                  </w:tblGrid>
                  <w:tr w:rsidR="00763B09">
                    <w:trPr>
                      <w:tblCellSpacing w:w="0" w:type="dxa"/>
                    </w:trPr>
                    <w:tc>
                      <w:tcPr>
                        <w:tcW w:w="151" w:type="dxa"/>
                        <w:shd w:val="clear" w:color="auto" w:fill="808080"/>
                        <w:vAlign w:val="center"/>
                      </w:tcPr>
                      <w:p w:rsidR="00763B09" w:rsidRDefault="00763B09">
                        <w:pPr>
                          <w:spacing w:after="80"/>
                          <w:rPr>
                            <w:rFonts w:ascii="Times New Roman" w:hAnsi="Times New Roman" w:cs="Times New Roman"/>
                            <w:sz w:val="20"/>
                            <w:szCs w:val="20"/>
                          </w:rPr>
                        </w:pPr>
                      </w:p>
                    </w:tc>
                    <w:tc>
                      <w:tcPr>
                        <w:tcW w:w="0" w:type="auto"/>
                        <w:gridSpan w:val="2"/>
                        <w:shd w:val="clear" w:color="auto" w:fill="808080"/>
                        <w:vAlign w:val="center"/>
                      </w:tcPr>
                      <w:p w:rsidR="00763B09" w:rsidRDefault="00763B09">
                        <w:pPr>
                          <w:spacing w:after="80"/>
                        </w:pPr>
                      </w:p>
                    </w:tc>
                  </w:tr>
                  <w:tr w:rsidR="00763B09">
                    <w:trPr>
                      <w:trHeight w:val="300"/>
                      <w:tblCellSpacing w:w="0" w:type="dxa"/>
                    </w:trPr>
                    <w:tc>
                      <w:tcPr>
                        <w:tcW w:w="151" w:type="dxa"/>
                        <w:shd w:val="clear" w:color="auto" w:fill="FFFFFF"/>
                        <w:vAlign w:val="center"/>
                      </w:tcPr>
                      <w:p w:rsidR="00763B09" w:rsidRDefault="00763B09">
                        <w:pPr>
                          <w:spacing w:after="80"/>
                          <w:rPr>
                            <w:rStyle w:val="h2"/>
                            <w:rFonts w:ascii="Verdana" w:hAnsi="Verdana"/>
                            <w:b/>
                            <w:bCs/>
                            <w:color w:val="70AD47"/>
                            <w:sz w:val="23"/>
                            <w:szCs w:val="23"/>
                          </w:rPr>
                        </w:pPr>
                      </w:p>
                    </w:tc>
                    <w:tc>
                      <w:tcPr>
                        <w:tcW w:w="9809" w:type="dxa"/>
                        <w:gridSpan w:val="2"/>
                        <w:shd w:val="clear" w:color="auto" w:fill="FFFFFF"/>
                        <w:vAlign w:val="center"/>
                      </w:tcPr>
                      <w:p w:rsidR="00763B09" w:rsidRDefault="00763B09">
                        <w:pPr>
                          <w:spacing w:after="80"/>
                          <w:rPr>
                            <w:rStyle w:val="h2"/>
                            <w:b/>
                            <w:bCs/>
                          </w:rPr>
                        </w:pPr>
                        <w:bookmarkStart w:id="1" w:name="x"/>
                        <w:bookmarkEnd w:id="1"/>
                      </w:p>
                      <w:p w:rsidR="00763B09" w:rsidRDefault="00763B09">
                        <w:pPr>
                          <w:spacing w:after="80"/>
                          <w:rPr>
                            <w:rStyle w:val="h2"/>
                            <w:rFonts w:ascii="Verdana" w:hAnsi="Verdana"/>
                            <w:b/>
                            <w:bCs/>
                            <w:sz w:val="23"/>
                            <w:szCs w:val="23"/>
                          </w:rPr>
                        </w:pPr>
                      </w:p>
                    </w:tc>
                  </w:tr>
                  <w:tr w:rsidR="00763B09">
                    <w:trPr>
                      <w:tblCellSpacing w:w="0" w:type="dxa"/>
                    </w:trPr>
                    <w:tc>
                      <w:tcPr>
                        <w:tcW w:w="151" w:type="dxa"/>
                        <w:shd w:val="clear" w:color="auto" w:fill="EEEEEE"/>
                        <w:vAlign w:val="center"/>
                        <w:hideMark/>
                      </w:tcPr>
                      <w:p w:rsidR="00763B09" w:rsidRDefault="00763B09">
                        <w:pPr>
                          <w:rPr>
                            <w:rStyle w:val="h2"/>
                            <w:rFonts w:ascii="Verdana" w:hAnsi="Verdana"/>
                            <w:b/>
                            <w:bCs/>
                            <w:sz w:val="23"/>
                            <w:szCs w:val="23"/>
                          </w:rPr>
                        </w:pPr>
                      </w:p>
                    </w:tc>
                    <w:tc>
                      <w:tcPr>
                        <w:tcW w:w="9809" w:type="dxa"/>
                        <w:gridSpan w:val="2"/>
                        <w:shd w:val="clear" w:color="auto" w:fill="EEEEEE"/>
                        <w:vAlign w:val="center"/>
                        <w:hideMark/>
                      </w:tcPr>
                      <w:p w:rsidR="00763B09" w:rsidRDefault="00763B09">
                        <w:pPr>
                          <w:rPr>
                            <w:rFonts w:ascii="Times New Roman" w:eastAsia="Times New Roman" w:hAnsi="Times New Roman" w:cs="Times New Roman"/>
                            <w:sz w:val="20"/>
                            <w:szCs w:val="20"/>
                          </w:rPr>
                        </w:pPr>
                      </w:p>
                    </w:tc>
                  </w:tr>
                  <w:tr w:rsidR="00763B09">
                    <w:trPr>
                      <w:trHeight w:val="300"/>
                      <w:tblCellSpacing w:w="0" w:type="dxa"/>
                    </w:trPr>
                    <w:tc>
                      <w:tcPr>
                        <w:tcW w:w="151" w:type="dxa"/>
                        <w:shd w:val="clear" w:color="auto" w:fill="ADA6A1"/>
                        <w:vAlign w:val="center"/>
                        <w:hideMark/>
                      </w:tcPr>
                      <w:p w:rsidR="00763B09" w:rsidRDefault="00763B09">
                        <w:pPr>
                          <w:rPr>
                            <w:rFonts w:ascii="Times New Roman" w:eastAsia="Times New Roman" w:hAnsi="Times New Roman" w:cs="Times New Roman"/>
                            <w:sz w:val="20"/>
                            <w:szCs w:val="20"/>
                          </w:rPr>
                        </w:pPr>
                      </w:p>
                    </w:tc>
                    <w:tc>
                      <w:tcPr>
                        <w:tcW w:w="9660" w:type="dxa"/>
                        <w:shd w:val="clear" w:color="auto" w:fill="ADA6A1"/>
                        <w:vAlign w:val="center"/>
                        <w:hideMark/>
                      </w:tcPr>
                      <w:p w:rsidR="00763B09" w:rsidRDefault="00763B09">
                        <w:pPr>
                          <w:rPr>
                            <w:rFonts w:ascii="Times New Roman" w:eastAsia="Times New Roman" w:hAnsi="Times New Roman" w:cs="Times New Roman"/>
                            <w:sz w:val="20"/>
                            <w:szCs w:val="20"/>
                          </w:rPr>
                        </w:pPr>
                      </w:p>
                    </w:tc>
                    <w:tc>
                      <w:tcPr>
                        <w:tcW w:w="149" w:type="dxa"/>
                        <w:shd w:val="clear" w:color="auto" w:fill="ADA6A1"/>
                        <w:vAlign w:val="center"/>
                        <w:hideMark/>
                      </w:tcPr>
                      <w:p w:rsidR="00763B09" w:rsidRDefault="00763B09">
                        <w:pPr>
                          <w:rPr>
                            <w:rFonts w:ascii="Times New Roman" w:eastAsia="Times New Roman" w:hAnsi="Times New Roman" w:cs="Times New Roman"/>
                            <w:sz w:val="20"/>
                            <w:szCs w:val="20"/>
                          </w:rPr>
                        </w:pPr>
                      </w:p>
                    </w:tc>
                  </w:tr>
                  <w:tr w:rsidR="00763B09">
                    <w:trPr>
                      <w:tblCellSpacing w:w="0" w:type="dxa"/>
                    </w:trPr>
                    <w:tc>
                      <w:tcPr>
                        <w:tcW w:w="151" w:type="dxa"/>
                        <w:shd w:val="clear" w:color="auto" w:fill="EEEEEE"/>
                        <w:vAlign w:val="center"/>
                        <w:hideMark/>
                      </w:tcPr>
                      <w:p w:rsidR="00763B09" w:rsidRDefault="00763B09">
                        <w:pPr>
                          <w:rPr>
                            <w:rFonts w:ascii="Times New Roman" w:eastAsia="Times New Roman" w:hAnsi="Times New Roman" w:cs="Times New Roman"/>
                            <w:sz w:val="20"/>
                            <w:szCs w:val="20"/>
                          </w:rPr>
                        </w:pPr>
                      </w:p>
                    </w:tc>
                    <w:tc>
                      <w:tcPr>
                        <w:tcW w:w="9660" w:type="dxa"/>
                        <w:shd w:val="clear" w:color="auto" w:fill="EEEEEE"/>
                        <w:vAlign w:val="center"/>
                        <w:hideMark/>
                      </w:tcPr>
                      <w:p w:rsidR="00763B09" w:rsidRDefault="00763B09">
                        <w:pPr>
                          <w:rPr>
                            <w:rFonts w:ascii="Times New Roman" w:eastAsia="Times New Roman" w:hAnsi="Times New Roman" w:cs="Times New Roman"/>
                            <w:sz w:val="20"/>
                            <w:szCs w:val="20"/>
                          </w:rPr>
                        </w:pPr>
                      </w:p>
                    </w:tc>
                    <w:tc>
                      <w:tcPr>
                        <w:tcW w:w="149" w:type="dxa"/>
                        <w:shd w:val="clear" w:color="auto" w:fill="EEEEEE"/>
                        <w:vAlign w:val="center"/>
                        <w:hideMark/>
                      </w:tcPr>
                      <w:p w:rsidR="00763B09" w:rsidRDefault="00763B09">
                        <w:pPr>
                          <w:rPr>
                            <w:rFonts w:ascii="Times New Roman" w:eastAsia="Times New Roman" w:hAnsi="Times New Roman" w:cs="Times New Roman"/>
                            <w:sz w:val="20"/>
                            <w:szCs w:val="20"/>
                          </w:rPr>
                        </w:pPr>
                      </w:p>
                    </w:tc>
                  </w:tr>
                  <w:tr w:rsidR="00763B09" w:rsidRPr="00763B09">
                    <w:trPr>
                      <w:tblCellSpacing w:w="0" w:type="dxa"/>
                    </w:trPr>
                    <w:tc>
                      <w:tcPr>
                        <w:tcW w:w="151" w:type="dxa"/>
                        <w:shd w:val="clear" w:color="auto" w:fill="EEEEEE"/>
                        <w:vAlign w:val="center"/>
                        <w:hideMark/>
                      </w:tcPr>
                      <w:p w:rsidR="00763B09" w:rsidRDefault="00763B09">
                        <w:pPr>
                          <w:rPr>
                            <w:rFonts w:ascii="Times New Roman" w:eastAsia="Times New Roman" w:hAnsi="Times New Roman" w:cs="Times New Roman"/>
                            <w:sz w:val="20"/>
                            <w:szCs w:val="20"/>
                          </w:rPr>
                        </w:pPr>
                      </w:p>
                    </w:tc>
                    <w:tc>
                      <w:tcPr>
                        <w:tcW w:w="0" w:type="auto"/>
                        <w:shd w:val="clear" w:color="auto" w:fill="EEEEEE"/>
                        <w:vAlign w:val="center"/>
                        <w:hideMark/>
                      </w:tcPr>
                      <w:tbl>
                        <w:tblPr>
                          <w:tblW w:w="9660" w:type="dxa"/>
                          <w:tblCellSpacing w:w="0" w:type="dxa"/>
                          <w:tblCellMar>
                            <w:left w:w="0" w:type="dxa"/>
                            <w:right w:w="0" w:type="dxa"/>
                          </w:tblCellMar>
                          <w:tblLook w:val="04A0" w:firstRow="1" w:lastRow="0" w:firstColumn="1" w:lastColumn="0" w:noHBand="0" w:noVBand="1"/>
                        </w:tblPr>
                        <w:tblGrid>
                          <w:gridCol w:w="9660"/>
                        </w:tblGrid>
                        <w:tr w:rsidR="00763B09" w:rsidRPr="00763B09">
                          <w:trPr>
                            <w:tblCellSpacing w:w="0" w:type="dxa"/>
                          </w:trPr>
                          <w:tc>
                            <w:tcPr>
                              <w:tcW w:w="9660" w:type="dxa"/>
                              <w:hideMark/>
                            </w:tcPr>
                            <w:p w:rsidR="00763B09" w:rsidRDefault="00763B09">
                              <w:pPr>
                                <w:spacing w:after="240"/>
                                <w:rPr>
                                  <w:rFonts w:ascii="Arial" w:hAnsi="Arial" w:cs="Arial"/>
                                  <w:sz w:val="18"/>
                                  <w:szCs w:val="18"/>
                                  <w:lang w:val="en-GB" w:eastAsia="en-US"/>
                                </w:rPr>
                              </w:pPr>
                              <w:r w:rsidRPr="00763B09">
                                <w:rPr>
                                  <w:rFonts w:ascii="Arial" w:hAnsi="Arial" w:cs="Arial"/>
                                  <w:sz w:val="18"/>
                                  <w:szCs w:val="18"/>
                                  <w:lang w:val="en-GB"/>
                                </w:rPr>
                                <w:br/>
                              </w:r>
                              <w:r>
                                <w:rPr>
                                  <w:rFonts w:ascii="Arial" w:hAnsi="Arial" w:cs="Arial"/>
                                  <w:sz w:val="18"/>
                                  <w:szCs w:val="18"/>
                                  <w:lang w:val="en-GB"/>
                                </w:rPr>
                                <w:t xml:space="preserve">On April 3rd, 2019 the Italian Senate definitively approved the Draft Law no. 844, concerning “Provisions on the class action”. </w:t>
                              </w:r>
                            </w:p>
                            <w:p w:rsidR="00763B09" w:rsidRDefault="00763B09">
                              <w:pPr>
                                <w:spacing w:after="240"/>
                                <w:rPr>
                                  <w:rFonts w:ascii="Arial" w:hAnsi="Arial" w:cs="Arial"/>
                                  <w:sz w:val="18"/>
                                  <w:szCs w:val="18"/>
                                  <w:lang w:val="en-GB" w:eastAsia="en-US"/>
                                </w:rPr>
                              </w:pPr>
                              <w:r>
                                <w:rPr>
                                  <w:rFonts w:ascii="Arial" w:hAnsi="Arial" w:cs="Arial"/>
                                  <w:sz w:val="18"/>
                                  <w:szCs w:val="18"/>
                                  <w:lang w:val="en-GB" w:eastAsia="en-US"/>
                                </w:rPr>
                                <w:t>The legislative provision is going to be published in the “</w:t>
                              </w:r>
                              <w:proofErr w:type="spellStart"/>
                              <w:r>
                                <w:rPr>
                                  <w:rFonts w:ascii="Arial" w:hAnsi="Arial" w:cs="Arial"/>
                                  <w:sz w:val="18"/>
                                  <w:szCs w:val="18"/>
                                  <w:lang w:val="en-GB" w:eastAsia="en-US"/>
                                </w:rPr>
                                <w:t>Gazzetta</w:t>
                              </w:r>
                              <w:proofErr w:type="spellEnd"/>
                              <w:r>
                                <w:rPr>
                                  <w:rFonts w:ascii="Arial" w:hAnsi="Arial" w:cs="Arial"/>
                                  <w:sz w:val="18"/>
                                  <w:szCs w:val="18"/>
                                  <w:lang w:val="en-GB" w:eastAsia="en-US"/>
                                </w:rPr>
                                <w:t xml:space="preserve"> </w:t>
                              </w:r>
                              <w:proofErr w:type="spellStart"/>
                              <w:r>
                                <w:rPr>
                                  <w:rFonts w:ascii="Arial" w:hAnsi="Arial" w:cs="Arial"/>
                                  <w:sz w:val="18"/>
                                  <w:szCs w:val="18"/>
                                  <w:lang w:val="en-GB" w:eastAsia="en-US"/>
                                </w:rPr>
                                <w:t>Ufficiale</w:t>
                              </w:r>
                              <w:proofErr w:type="spellEnd"/>
                              <w:r>
                                <w:rPr>
                                  <w:rFonts w:ascii="Arial" w:hAnsi="Arial" w:cs="Arial"/>
                                  <w:sz w:val="18"/>
                                  <w:szCs w:val="18"/>
                                  <w:lang w:val="en-GB" w:eastAsia="en-US"/>
                                </w:rPr>
                                <w:t>” (the official publication containing the text of new laws) and will enter into force one year after its publication.</w:t>
                              </w:r>
                            </w:p>
                          </w:tc>
                        </w:tr>
                      </w:tbl>
                      <w:p w:rsidR="00763B09" w:rsidRPr="00763B09" w:rsidRDefault="00763B09">
                        <w:pPr>
                          <w:rPr>
                            <w:rFonts w:ascii="Times New Roman" w:eastAsia="Times New Roman" w:hAnsi="Times New Roman" w:cs="Times New Roman"/>
                            <w:sz w:val="20"/>
                            <w:szCs w:val="20"/>
                            <w:lang w:val="en-GB"/>
                          </w:rPr>
                        </w:pPr>
                      </w:p>
                    </w:tc>
                    <w:tc>
                      <w:tcPr>
                        <w:tcW w:w="149" w:type="dxa"/>
                        <w:shd w:val="clear" w:color="auto" w:fill="EEEEEE"/>
                        <w:vAlign w:val="center"/>
                        <w:hideMark/>
                      </w:tcPr>
                      <w:p w:rsidR="00763B09" w:rsidRPr="00763B09" w:rsidRDefault="00763B09">
                        <w:pPr>
                          <w:rPr>
                            <w:rFonts w:ascii="Times New Roman" w:eastAsia="Times New Roman" w:hAnsi="Times New Roman" w:cs="Times New Roman"/>
                            <w:sz w:val="20"/>
                            <w:szCs w:val="20"/>
                            <w:lang w:val="en-GB"/>
                          </w:rPr>
                        </w:pPr>
                      </w:p>
                    </w:tc>
                  </w:tr>
                  <w:tr w:rsidR="00763B09" w:rsidRPr="00763B09">
                    <w:trPr>
                      <w:tblCellSpacing w:w="0" w:type="dxa"/>
                    </w:trPr>
                    <w:tc>
                      <w:tcPr>
                        <w:tcW w:w="151" w:type="dxa"/>
                        <w:shd w:val="clear" w:color="auto" w:fill="EEEEEE"/>
                        <w:vAlign w:val="center"/>
                        <w:hideMark/>
                      </w:tcPr>
                      <w:p w:rsidR="00763B09" w:rsidRPr="00763B09" w:rsidRDefault="00763B09">
                        <w:pPr>
                          <w:rPr>
                            <w:rFonts w:ascii="Times New Roman" w:eastAsia="Times New Roman" w:hAnsi="Times New Roman" w:cs="Times New Roman"/>
                            <w:sz w:val="20"/>
                            <w:szCs w:val="20"/>
                            <w:lang w:val="en-GB"/>
                          </w:rPr>
                        </w:pPr>
                      </w:p>
                    </w:tc>
                    <w:tc>
                      <w:tcPr>
                        <w:tcW w:w="9660" w:type="dxa"/>
                        <w:shd w:val="clear" w:color="auto" w:fill="EEEEEE"/>
                        <w:vAlign w:val="center"/>
                        <w:hideMark/>
                      </w:tcPr>
                      <w:p w:rsidR="00763B09" w:rsidRPr="00763B09" w:rsidRDefault="00763B09">
                        <w:pPr>
                          <w:rPr>
                            <w:rFonts w:ascii="Times New Roman" w:eastAsia="Times New Roman" w:hAnsi="Times New Roman" w:cs="Times New Roman"/>
                            <w:sz w:val="20"/>
                            <w:szCs w:val="20"/>
                            <w:lang w:val="en-GB"/>
                          </w:rPr>
                        </w:pPr>
                      </w:p>
                    </w:tc>
                    <w:tc>
                      <w:tcPr>
                        <w:tcW w:w="149" w:type="dxa"/>
                        <w:shd w:val="clear" w:color="auto" w:fill="EEEEEE"/>
                        <w:vAlign w:val="center"/>
                        <w:hideMark/>
                      </w:tcPr>
                      <w:p w:rsidR="00763B09" w:rsidRPr="00763B09" w:rsidRDefault="00763B09">
                        <w:pPr>
                          <w:rPr>
                            <w:rFonts w:ascii="Times New Roman" w:eastAsia="Times New Roman" w:hAnsi="Times New Roman" w:cs="Times New Roman"/>
                            <w:sz w:val="20"/>
                            <w:szCs w:val="20"/>
                            <w:lang w:val="en-GB"/>
                          </w:rPr>
                        </w:pPr>
                      </w:p>
                    </w:tc>
                  </w:tr>
                </w:tbl>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xml:space="preserve">This will allow the Ministry of Justice to implement the necessary technical measures in the IT systems in order to manage the new telematic proceedings.          </w:t>
                  </w: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w:t>
                  </w: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The class action was introduced in our legal system with the Law no. 244 of December 24th, 2007 (the so called 2008 Finance Law).</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The new regulation, consisting in 7 articles that are going to reform the discipline currently contained in the Italian Consumer Code, in accordance with art. no. 140 bis, will be “relocated” in the Italian Civil Procedure Code.</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Specifically, there will be the introduction of a new Title, the VIII-bis “Of collective proceedings”, which will consist of 15 new articles.</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The result of this repositioning is that the class action will no longer be linked to the consumer, but the action will be available to everyone who claims a compensation related to a damage of “homogeneous individual rights”.</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The standing to sue will be recognized upon each member of the class and upon the non-profit organizations or associations whose statutory objectives include the protection of the homogeneous individual rights, that are registered in a list held by the Italian Ministry of Justice.</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xml:space="preserve">The class action can be brought against companies and public services or public utility providers, in relation to acts and </w:t>
                  </w:r>
                  <w:proofErr w:type="spellStart"/>
                  <w:r>
                    <w:rPr>
                      <w:rFonts w:ascii="Arial" w:hAnsi="Arial" w:cs="Arial"/>
                      <w:sz w:val="18"/>
                      <w:szCs w:val="18"/>
                      <w:lang w:val="en"/>
                    </w:rPr>
                    <w:t>behaviours</w:t>
                  </w:r>
                  <w:proofErr w:type="spellEnd"/>
                  <w:r>
                    <w:rPr>
                      <w:rFonts w:ascii="Arial" w:hAnsi="Arial" w:cs="Arial"/>
                      <w:sz w:val="18"/>
                      <w:szCs w:val="18"/>
                      <w:lang w:val="en"/>
                    </w:rPr>
                    <w:t xml:space="preserve"> carried out during their respective activities.</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xml:space="preserve">Therefore, the indication of the harmful cases on which the current class action - provided by the art. 140-bis of the Italian Consumer Code - is based, is removed and there is a change in </w:t>
                  </w:r>
                  <w:proofErr w:type="spellStart"/>
                  <w:r>
                    <w:rPr>
                      <w:rFonts w:ascii="Arial" w:hAnsi="Arial" w:cs="Arial"/>
                      <w:sz w:val="18"/>
                      <w:szCs w:val="18"/>
                      <w:lang w:val="en"/>
                    </w:rPr>
                    <w:t>favour</w:t>
                  </w:r>
                  <w:proofErr w:type="spellEnd"/>
                  <w:r>
                    <w:rPr>
                      <w:rFonts w:ascii="Arial" w:hAnsi="Arial" w:cs="Arial"/>
                      <w:sz w:val="18"/>
                      <w:szCs w:val="18"/>
                      <w:lang w:val="en"/>
                    </w:rPr>
                    <w:t xml:space="preserve"> of a broader reference to acts and </w:t>
                  </w:r>
                  <w:proofErr w:type="spellStart"/>
                  <w:r>
                    <w:rPr>
                      <w:rFonts w:ascii="Arial" w:hAnsi="Arial" w:cs="Arial"/>
                      <w:sz w:val="18"/>
                      <w:szCs w:val="18"/>
                      <w:lang w:val="en"/>
                    </w:rPr>
                    <w:t>behaviours</w:t>
                  </w:r>
                  <w:proofErr w:type="spellEnd"/>
                  <w:r>
                    <w:rPr>
                      <w:rFonts w:ascii="Arial" w:hAnsi="Arial" w:cs="Arial"/>
                      <w:sz w:val="18"/>
                      <w:szCs w:val="18"/>
                      <w:lang w:val="en"/>
                    </w:rPr>
                    <w:t xml:space="preserve"> carried out during the performance of business activities.</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xml:space="preserve">One of the major innovations concerns the faculty to join the action, that will be allowed, within due deadlines, not only in the phase after the court order, but also in the one after the sentence. The participation to the class action shall be proposed submitting an on line request using a specific area on the telematic service portal. A special department dedicated to business matters is demanded to decide on class actions. </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xml:space="preserve">The class action is broadly divided into 3 phases: </w:t>
                  </w:r>
                </w:p>
                <w:p w:rsidR="00763B09" w:rsidRDefault="00763B09">
                  <w:pPr>
                    <w:pStyle w:val="PreformattatoHTML"/>
                    <w:shd w:val="clear" w:color="auto" w:fill="FFFFFF"/>
                    <w:rPr>
                      <w:rFonts w:ascii="Arial" w:hAnsi="Arial" w:cs="Arial"/>
                      <w:sz w:val="18"/>
                      <w:szCs w:val="18"/>
                      <w:lang w:val="en"/>
                    </w:rPr>
                  </w:pP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xml:space="preserve">1) admissibility of the action; </w:t>
                  </w: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xml:space="preserve">2) decision on the merit; </w:t>
                  </w:r>
                </w:p>
                <w:p w:rsidR="00763B09" w:rsidRDefault="00763B09">
                  <w:pPr>
                    <w:pStyle w:val="PreformattatoHTML"/>
                    <w:shd w:val="clear" w:color="auto" w:fill="FFFFFF"/>
                    <w:rPr>
                      <w:rFonts w:ascii="Arial" w:hAnsi="Arial" w:cs="Arial"/>
                      <w:sz w:val="18"/>
                      <w:szCs w:val="18"/>
                      <w:lang w:val="en"/>
                    </w:rPr>
                  </w:pPr>
                  <w:r>
                    <w:rPr>
                      <w:rFonts w:ascii="Arial" w:hAnsi="Arial" w:cs="Arial"/>
                      <w:sz w:val="18"/>
                      <w:szCs w:val="18"/>
                      <w:lang w:val="en"/>
                    </w:rPr>
                    <w:t xml:space="preserve">3) liquidation of the sums by way of compensation for damage to members of the class action. </w:t>
                  </w:r>
                </w:p>
                <w:p w:rsidR="00763B09" w:rsidRDefault="00763B09">
                  <w:pPr>
                    <w:pStyle w:val="PreformattatoHTML"/>
                    <w:shd w:val="clear" w:color="auto" w:fill="FFFFFF"/>
                    <w:rPr>
                      <w:rFonts w:ascii="Arial" w:hAnsi="Arial" w:cs="Arial"/>
                      <w:sz w:val="18"/>
                      <w:szCs w:val="18"/>
                      <w:lang w:val="en"/>
                    </w:rPr>
                  </w:pPr>
                </w:p>
                <w:p w:rsidR="00763B09" w:rsidRDefault="00763B09">
                  <w:pPr>
                    <w:spacing w:after="80"/>
                    <w:rPr>
                      <w:rFonts w:ascii="Arial" w:hAnsi="Arial" w:cs="Arial"/>
                      <w:sz w:val="18"/>
                      <w:szCs w:val="18"/>
                      <w:lang w:val="en-GB"/>
                    </w:rPr>
                  </w:pPr>
                  <w:r>
                    <w:rPr>
                      <w:rFonts w:ascii="Arial" w:hAnsi="Arial" w:cs="Arial"/>
                      <w:sz w:val="18"/>
                      <w:szCs w:val="18"/>
                      <w:lang w:val="en"/>
                    </w:rPr>
                    <w:t>In addition, the Draft Law also regulates the collective injunction action, in according to which anyone who has an interest in inhibiting acts and behaviors carried out against of a plurality of individuals or entities, may request a termination or a recurrence prohibition order related to the active or to the omissive conduct.</w:t>
                  </w:r>
                </w:p>
              </w:tc>
              <w:tc>
                <w:tcPr>
                  <w:tcW w:w="270" w:type="dxa"/>
                  <w:shd w:val="clear" w:color="auto" w:fill="FFFFFF"/>
                  <w:vAlign w:val="center"/>
                  <w:hideMark/>
                </w:tcPr>
                <w:p w:rsidR="00763B09" w:rsidRDefault="00763B09">
                  <w:pPr>
                    <w:rPr>
                      <w:rFonts w:ascii="Arial" w:hAnsi="Arial" w:cs="Arial"/>
                      <w:sz w:val="18"/>
                      <w:szCs w:val="18"/>
                      <w:lang w:val="en-GB"/>
                    </w:rPr>
                  </w:pPr>
                </w:p>
              </w:tc>
            </w:tr>
            <w:tr w:rsidR="00763B09" w:rsidRPr="00763B09">
              <w:trPr>
                <w:tblCellSpacing w:w="0" w:type="dxa"/>
              </w:trPr>
              <w:tc>
                <w:tcPr>
                  <w:tcW w:w="142" w:type="dxa"/>
                  <w:shd w:val="clear" w:color="auto" w:fill="FFFFFF"/>
                  <w:vAlign w:val="center"/>
                </w:tcPr>
                <w:p w:rsidR="00763B09" w:rsidRDefault="00763B09">
                  <w:pPr>
                    <w:rPr>
                      <w:rFonts w:ascii="Verdana" w:hAnsi="Verdana"/>
                      <w:color w:val="000000"/>
                      <w:sz w:val="17"/>
                      <w:szCs w:val="17"/>
                      <w:lang w:val="en-GB"/>
                    </w:rPr>
                  </w:pPr>
                </w:p>
              </w:tc>
              <w:tc>
                <w:tcPr>
                  <w:tcW w:w="10088" w:type="dxa"/>
                  <w:shd w:val="clear" w:color="auto" w:fill="FFFFFF"/>
                </w:tcPr>
                <w:p w:rsidR="00763B09" w:rsidRDefault="00763B09">
                  <w:pPr>
                    <w:spacing w:line="240" w:lineRule="atLeast"/>
                    <w:rPr>
                      <w:rFonts w:ascii="Verdana" w:hAnsi="Verdana"/>
                      <w:sz w:val="17"/>
                      <w:szCs w:val="17"/>
                      <w:lang w:val="en-GB"/>
                    </w:rPr>
                  </w:pPr>
                </w:p>
              </w:tc>
              <w:tc>
                <w:tcPr>
                  <w:tcW w:w="270" w:type="dxa"/>
                  <w:shd w:val="clear" w:color="auto" w:fill="FFFFFF"/>
                  <w:vAlign w:val="center"/>
                </w:tcPr>
                <w:p w:rsidR="00763B09" w:rsidRDefault="00763B09">
                  <w:pPr>
                    <w:rPr>
                      <w:rFonts w:ascii="Verdana" w:hAnsi="Verdana"/>
                      <w:color w:val="000000"/>
                      <w:sz w:val="17"/>
                      <w:szCs w:val="17"/>
                      <w:lang w:val="en-GB"/>
                    </w:rPr>
                  </w:pPr>
                </w:p>
              </w:tc>
            </w:tr>
          </w:tbl>
          <w:p w:rsidR="00763B09" w:rsidRDefault="00763B09">
            <w:pPr>
              <w:spacing w:line="240" w:lineRule="atLeast"/>
              <w:rPr>
                <w:rFonts w:ascii="Verdana" w:hAnsi="Verdana"/>
                <w:vanish/>
                <w:sz w:val="17"/>
                <w:szCs w:val="17"/>
                <w:lang w:val="en-GB"/>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0500"/>
            </w:tblGrid>
            <w:tr w:rsidR="00763B09" w:rsidRPr="00763B09">
              <w:trPr>
                <w:tblCellSpacing w:w="15" w:type="dxa"/>
                <w:hidden/>
              </w:trPr>
              <w:tc>
                <w:tcPr>
                  <w:tcW w:w="0" w:type="auto"/>
                  <w:shd w:val="clear" w:color="auto" w:fill="FFFFFF"/>
                  <w:tcMar>
                    <w:top w:w="15" w:type="dxa"/>
                    <w:left w:w="15" w:type="dxa"/>
                    <w:bottom w:w="15" w:type="dxa"/>
                    <w:right w:w="15" w:type="dxa"/>
                  </w:tcMar>
                  <w:vAlign w:val="center"/>
                  <w:hideMark/>
                </w:tcPr>
                <w:p w:rsidR="00763B09" w:rsidRDefault="00763B09">
                  <w:pPr>
                    <w:rPr>
                      <w:rFonts w:ascii="Verdana" w:hAnsi="Verdana"/>
                      <w:vanish/>
                      <w:sz w:val="17"/>
                      <w:szCs w:val="17"/>
                      <w:lang w:val="en-GB"/>
                    </w:rPr>
                  </w:pPr>
                </w:p>
              </w:tc>
            </w:tr>
          </w:tbl>
          <w:p w:rsidR="00763B09" w:rsidRDefault="00763B09">
            <w:pPr>
              <w:spacing w:line="240" w:lineRule="atLeast"/>
              <w:rPr>
                <w:rFonts w:ascii="Verdana" w:hAnsi="Verdana"/>
                <w:vanish/>
                <w:sz w:val="17"/>
                <w:szCs w:val="17"/>
                <w:lang w:val="en-GB"/>
              </w:rPr>
            </w:pPr>
          </w:p>
          <w:tbl>
            <w:tblPr>
              <w:tblW w:w="10500" w:type="dxa"/>
              <w:tblCellSpacing w:w="0" w:type="dxa"/>
              <w:shd w:val="clear" w:color="auto" w:fill="FFFFFF"/>
              <w:tblCellMar>
                <w:left w:w="0" w:type="dxa"/>
                <w:right w:w="0" w:type="dxa"/>
              </w:tblCellMar>
              <w:tblLook w:val="04A0" w:firstRow="1" w:lastRow="0" w:firstColumn="1" w:lastColumn="0" w:noHBand="0" w:noVBand="1"/>
            </w:tblPr>
            <w:tblGrid>
              <w:gridCol w:w="270"/>
              <w:gridCol w:w="9960"/>
              <w:gridCol w:w="270"/>
            </w:tblGrid>
            <w:tr w:rsidR="00763B09">
              <w:trPr>
                <w:tblCellSpacing w:w="0" w:type="dxa"/>
                <w:hidden/>
              </w:trPr>
              <w:tc>
                <w:tcPr>
                  <w:tcW w:w="270" w:type="dxa"/>
                  <w:shd w:val="clear" w:color="auto" w:fill="FFFFFF"/>
                  <w:vAlign w:val="center"/>
                  <w:hideMark/>
                </w:tcPr>
                <w:p w:rsidR="00763B09" w:rsidRDefault="00763B09">
                  <w:pPr>
                    <w:rPr>
                      <w:rFonts w:ascii="Verdana" w:hAnsi="Verdana"/>
                      <w:vanish/>
                      <w:sz w:val="17"/>
                      <w:szCs w:val="17"/>
                      <w:lang w:val="en-GB"/>
                    </w:rPr>
                  </w:pPr>
                </w:p>
              </w:tc>
              <w:tc>
                <w:tcPr>
                  <w:tcW w:w="0" w:type="auto"/>
                  <w:shd w:val="clear" w:color="auto" w:fill="FFFFFF"/>
                  <w:hideMark/>
                </w:tcPr>
                <w:tbl>
                  <w:tblPr>
                    <w:tblW w:w="5000" w:type="pct"/>
                    <w:tblCellSpacing w:w="0" w:type="dxa"/>
                    <w:shd w:val="clear" w:color="auto" w:fill="ADA6A1"/>
                    <w:tblCellMar>
                      <w:left w:w="0" w:type="dxa"/>
                      <w:right w:w="0" w:type="dxa"/>
                    </w:tblCellMar>
                    <w:tblLook w:val="04A0" w:firstRow="1" w:lastRow="0" w:firstColumn="1" w:lastColumn="0" w:noHBand="0" w:noVBand="1"/>
                  </w:tblPr>
                  <w:tblGrid>
                    <w:gridCol w:w="4696"/>
                    <w:gridCol w:w="567"/>
                    <w:gridCol w:w="4697"/>
                  </w:tblGrid>
                  <w:tr w:rsidR="00763B09">
                    <w:trPr>
                      <w:tblCellSpacing w:w="0" w:type="dxa"/>
                    </w:trPr>
                    <w:tc>
                      <w:tcPr>
                        <w:tcW w:w="4696" w:type="dxa"/>
                        <w:shd w:val="clear" w:color="auto" w:fill="ADA6A1"/>
                      </w:tcPr>
                      <w:p w:rsidR="00763B09" w:rsidRDefault="00763B09">
                        <w:pPr>
                          <w:rPr>
                            <w:rStyle w:val="Collegamentoipertestuale"/>
                            <w:rFonts w:ascii="Verdana" w:hAnsi="Verdana"/>
                            <w:b/>
                            <w:bCs/>
                            <w:color w:val="FFFFFF"/>
                            <w:sz w:val="18"/>
                            <w:szCs w:val="18"/>
                          </w:rPr>
                        </w:pPr>
                        <w:r w:rsidRPr="00763B09">
                          <w:rPr>
                            <w:color w:val="FFFFFF"/>
                          </w:rPr>
                          <w:br/>
                        </w:r>
                        <w:r w:rsidRPr="00763B09">
                          <w:rPr>
                            <w:rStyle w:val="Collegamentoipertestuale"/>
                            <w:rFonts w:ascii="Verdana" w:hAnsi="Verdana"/>
                            <w:b/>
                            <w:bCs/>
                          </w:rPr>
                          <w:t xml:space="preserve">  </w:t>
                        </w:r>
                        <w:r w:rsidRPr="00763B09">
                          <w:rPr>
                            <w:rStyle w:val="Collegamentoipertestuale"/>
                            <w:rFonts w:ascii="Verdana" w:hAnsi="Verdana"/>
                            <w:b/>
                            <w:bCs/>
                            <w:color w:val="auto"/>
                          </w:rPr>
                          <w:t> </w:t>
                        </w:r>
                        <w:r>
                          <w:rPr>
                            <w:rStyle w:val="Collegamentoipertestuale"/>
                            <w:rFonts w:ascii="Verdana" w:hAnsi="Verdana"/>
                            <w:b/>
                            <w:bCs/>
                            <w:color w:val="FFFFFF"/>
                          </w:rPr>
                          <w:t>Emilio Battaglia</w:t>
                        </w:r>
                        <w:r>
                          <w:rPr>
                            <w:color w:val="FFFFFF"/>
                            <w:sz w:val="18"/>
                            <w:szCs w:val="18"/>
                          </w:rPr>
                          <w:br/>
                        </w:r>
                        <w:r>
                          <w:rPr>
                            <w:rStyle w:val="Collegamentoipertestuale"/>
                            <w:rFonts w:ascii="Verdana" w:hAnsi="Verdana"/>
                            <w:b/>
                            <w:bCs/>
                            <w:color w:val="FFFFFF"/>
                            <w:sz w:val="18"/>
                            <w:szCs w:val="18"/>
                          </w:rPr>
                          <w:t>    Partner</w:t>
                        </w:r>
                        <w:r>
                          <w:rPr>
                            <w:color w:val="FFFFFF"/>
                          </w:rPr>
                          <w:br/>
                        </w:r>
                        <w:r>
                          <w:rPr>
                            <w:rStyle w:val="Collegamentoipertestuale"/>
                            <w:rFonts w:ascii="Verdana" w:hAnsi="Verdana"/>
                            <w:b/>
                            <w:bCs/>
                            <w:color w:val="FFFFFF"/>
                            <w:sz w:val="18"/>
                            <w:szCs w:val="18"/>
                          </w:rPr>
                          <w:t xml:space="preserve">    </w:t>
                        </w:r>
                        <w:hyperlink r:id="rId11" w:history="1">
                          <w:r>
                            <w:rPr>
                              <w:rStyle w:val="Collegamentoipertestuale"/>
                              <w:rFonts w:ascii="Verdana" w:hAnsi="Verdana"/>
                              <w:b/>
                              <w:bCs/>
                              <w:color w:val="FFFFFF"/>
                              <w:sz w:val="18"/>
                              <w:szCs w:val="18"/>
                            </w:rPr>
                            <w:t>emilio.battaglia@cms-aacs.com</w:t>
                          </w:r>
                        </w:hyperlink>
                      </w:p>
                      <w:p w:rsidR="00763B09" w:rsidRDefault="00763B09">
                        <w:pPr>
                          <w:rPr>
                            <w:rStyle w:val="Collegamentoipertestuale"/>
                            <w:color w:val="FFFFFF"/>
                          </w:rPr>
                        </w:pPr>
                      </w:p>
                      <w:p w:rsidR="00763B09" w:rsidRDefault="00763B09">
                        <w:r>
                          <w:rPr>
                            <w:rStyle w:val="Collegamentoipertestuale"/>
                            <w:rFonts w:ascii="Verdana" w:hAnsi="Verdana"/>
                            <w:color w:val="FFFFFF"/>
                            <w:sz w:val="18"/>
                            <w:szCs w:val="18"/>
                          </w:rPr>
                          <w:lastRenderedPageBreak/>
                          <w:t> </w:t>
                        </w:r>
                      </w:p>
                    </w:tc>
                    <w:tc>
                      <w:tcPr>
                        <w:tcW w:w="567" w:type="dxa"/>
                        <w:shd w:val="clear" w:color="auto" w:fill="ADA6A1"/>
                      </w:tcPr>
                      <w:p w:rsidR="00763B09" w:rsidRDefault="00763B09">
                        <w:pPr>
                          <w:rPr>
                            <w:color w:val="FFFFFF"/>
                          </w:rPr>
                        </w:pPr>
                      </w:p>
                    </w:tc>
                    <w:tc>
                      <w:tcPr>
                        <w:tcW w:w="4697" w:type="dxa"/>
                        <w:shd w:val="clear" w:color="auto" w:fill="ADA6A1"/>
                        <w:hideMark/>
                      </w:tcPr>
                      <w:p w:rsidR="00763B09" w:rsidRDefault="00763B09">
                        <w:pPr>
                          <w:rPr>
                            <w:color w:val="FFFFFF"/>
                          </w:rPr>
                        </w:pPr>
                      </w:p>
                    </w:tc>
                  </w:tr>
                </w:tbl>
                <w:p w:rsidR="00763B09" w:rsidRDefault="00763B09">
                  <w:pPr>
                    <w:rPr>
                      <w:rFonts w:ascii="Times New Roman" w:eastAsia="Times New Roman" w:hAnsi="Times New Roman" w:cs="Times New Roman"/>
                      <w:sz w:val="20"/>
                      <w:szCs w:val="20"/>
                    </w:rPr>
                  </w:pPr>
                </w:p>
              </w:tc>
              <w:tc>
                <w:tcPr>
                  <w:tcW w:w="270" w:type="dxa"/>
                  <w:shd w:val="clear" w:color="auto" w:fill="FFFFFF"/>
                  <w:vAlign w:val="center"/>
                </w:tcPr>
                <w:p w:rsidR="00763B09" w:rsidRDefault="00763B09">
                  <w:pPr>
                    <w:rPr>
                      <w:rFonts w:ascii="Times New Roman" w:hAnsi="Times New Roman" w:cs="Times New Roman"/>
                      <w:sz w:val="20"/>
                      <w:szCs w:val="20"/>
                    </w:rPr>
                  </w:pPr>
                </w:p>
                <w:p w:rsidR="00763B09" w:rsidRDefault="00763B09"/>
                <w:p w:rsidR="00763B09" w:rsidRDefault="00763B09"/>
                <w:p w:rsidR="00763B09" w:rsidRDefault="00763B09"/>
                <w:p w:rsidR="00763B09" w:rsidRDefault="00763B09"/>
              </w:tc>
            </w:tr>
          </w:tbl>
          <w:p w:rsidR="00763B09" w:rsidRDefault="00763B09"/>
        </w:tc>
      </w:tr>
      <w:tr w:rsidR="00763B09" w:rsidRPr="00763B09" w:rsidTr="00763B09">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70"/>
              <w:gridCol w:w="9960"/>
              <w:gridCol w:w="270"/>
            </w:tblGrid>
            <w:tr w:rsidR="00763B09" w:rsidRPr="00763B09">
              <w:trPr>
                <w:tblCellSpacing w:w="0" w:type="dxa"/>
              </w:trPr>
              <w:tc>
                <w:tcPr>
                  <w:tcW w:w="270" w:type="dxa"/>
                  <w:vAlign w:val="center"/>
                  <w:hideMark/>
                </w:tcPr>
                <w:p w:rsidR="00763B09" w:rsidRDefault="00763B09"/>
              </w:tc>
              <w:tc>
                <w:tcPr>
                  <w:tcW w:w="0" w:type="auto"/>
                  <w:vAlign w:val="center"/>
                  <w:hideMark/>
                </w:tcPr>
                <w:p w:rsidR="00763B09" w:rsidRDefault="00763B09">
                  <w:pPr>
                    <w:spacing w:line="240" w:lineRule="atLeast"/>
                    <w:jc w:val="center"/>
                    <w:rPr>
                      <w:rFonts w:ascii="Verdana" w:eastAsia="Times New Roman" w:hAnsi="Verdana"/>
                      <w:sz w:val="17"/>
                      <w:szCs w:val="17"/>
                    </w:rPr>
                  </w:pPr>
                  <w:r>
                    <w:rPr>
                      <w:rFonts w:ascii="Verdana" w:eastAsia="Times New Roman" w:hAnsi="Verdana"/>
                      <w:sz w:val="17"/>
                      <w:szCs w:val="17"/>
                    </w:rPr>
                    <w:pict>
                      <v:rect id="_x0000_i1030" style="width:481.9pt;height:.5pt" o:hralign="center" o:hrstd="t" o:hrnoshade="t" o:hr="t" fillcolor="#766a62" stroked="f"/>
                    </w:pict>
                  </w:r>
                </w:p>
                <w:p w:rsidR="00763B09" w:rsidRDefault="00763B09">
                  <w:pPr>
                    <w:spacing w:after="240" w:line="240" w:lineRule="atLeast"/>
                    <w:rPr>
                      <w:rFonts w:ascii="Verdana" w:hAnsi="Verdana"/>
                      <w:sz w:val="17"/>
                      <w:szCs w:val="17"/>
                    </w:rPr>
                  </w:pPr>
                  <w:r>
                    <w:rPr>
                      <w:rFonts w:ascii="Verdana" w:hAnsi="Verdana"/>
                      <w:color w:val="808080"/>
                      <w:sz w:val="15"/>
                      <w:szCs w:val="15"/>
                    </w:rPr>
                    <w:t xml:space="preserve">Le opinioni ed informazioni contenute nella presente Newsletter hanno carattere esclusivamente divulgativo. Esse pertanto non possono considerarsi sufficienti </w:t>
                  </w:r>
                  <w:proofErr w:type="gramStart"/>
                  <w:r>
                    <w:rPr>
                      <w:rFonts w:ascii="Verdana" w:hAnsi="Verdana"/>
                      <w:color w:val="808080"/>
                      <w:sz w:val="15"/>
                      <w:szCs w:val="15"/>
                    </w:rPr>
                    <w:t>ad</w:t>
                  </w:r>
                  <w:proofErr w:type="gramEnd"/>
                  <w:r>
                    <w:rPr>
                      <w:rFonts w:ascii="Verdana" w:hAnsi="Verdana"/>
                      <w:color w:val="808080"/>
                      <w:sz w:val="15"/>
                      <w:szCs w:val="15"/>
                    </w:rPr>
                    <w:t xml:space="preserve"> adottare decisioni operative o l’assunzione di impegni di qualsiasi natura, né rappresentano l’espressione di un parere professionale. La Newsletter è proprietà di CMS Adonnino Ascoli &amp; Cavasola Scamoni.</w:t>
                  </w:r>
                </w:p>
                <w:p w:rsidR="00763B09" w:rsidRDefault="00763B09">
                  <w:pPr>
                    <w:spacing w:before="100" w:beforeAutospacing="1" w:after="100" w:afterAutospacing="1"/>
                  </w:pPr>
                  <w:r>
                    <w:rPr>
                      <w:rFonts w:ascii="Verdana" w:hAnsi="Verdana"/>
                      <w:color w:val="808080"/>
                      <w:sz w:val="15"/>
                      <w:szCs w:val="15"/>
                      <w:lang w:val="en-US"/>
                    </w:rPr>
                    <w:t xml:space="preserve">The views and opinions expressed in CMS Adonnino Ascoli &amp; Cavasola </w:t>
                  </w:r>
                  <w:proofErr w:type="spellStart"/>
                  <w:r>
                    <w:rPr>
                      <w:rFonts w:ascii="Verdana" w:hAnsi="Verdana"/>
                      <w:color w:val="808080"/>
                      <w:sz w:val="15"/>
                      <w:szCs w:val="15"/>
                      <w:lang w:val="en-US"/>
                    </w:rPr>
                    <w:t>Scamoni's</w:t>
                  </w:r>
                  <w:proofErr w:type="spellEnd"/>
                  <w:r>
                    <w:rPr>
                      <w:rFonts w:ascii="Verdana" w:hAnsi="Verdana"/>
                      <w:color w:val="808080"/>
                      <w:sz w:val="15"/>
                      <w:szCs w:val="15"/>
                      <w:lang w:val="en-US"/>
                    </w:rPr>
                    <w:t xml:space="preserve"> Newsletter are meant to stimulate thought and discussion. They relate to circumstances prevailing at the date of its original publication and may not have been updated to reflect subsequent developments. CMS Adonnino Ascoli &amp; Cavasola </w:t>
                  </w:r>
                  <w:proofErr w:type="spellStart"/>
                  <w:r>
                    <w:rPr>
                      <w:rFonts w:ascii="Verdana" w:hAnsi="Verdana"/>
                      <w:color w:val="808080"/>
                      <w:sz w:val="15"/>
                      <w:szCs w:val="15"/>
                      <w:lang w:val="en-US"/>
                    </w:rPr>
                    <w:t>Scamoni's</w:t>
                  </w:r>
                  <w:proofErr w:type="spellEnd"/>
                  <w:r>
                    <w:rPr>
                      <w:rFonts w:ascii="Verdana" w:hAnsi="Verdana"/>
                      <w:color w:val="808080"/>
                      <w:sz w:val="15"/>
                      <w:szCs w:val="15"/>
                      <w:lang w:val="en-US"/>
                    </w:rPr>
                    <w:t xml:space="preserve"> Newsletter does not intend to constitute legal or professional advice. </w:t>
                  </w:r>
                  <w:r>
                    <w:rPr>
                      <w:rFonts w:ascii="Verdana" w:hAnsi="Verdana"/>
                      <w:color w:val="808080"/>
                      <w:sz w:val="15"/>
                      <w:szCs w:val="15"/>
                    </w:rPr>
                    <w:t xml:space="preserve">CMS Adonnino Ascoli &amp; Cavasola </w:t>
                  </w:r>
                  <w:proofErr w:type="spellStart"/>
                  <w:r>
                    <w:rPr>
                      <w:rFonts w:ascii="Verdana" w:hAnsi="Verdana"/>
                      <w:color w:val="808080"/>
                      <w:sz w:val="15"/>
                      <w:szCs w:val="15"/>
                    </w:rPr>
                    <w:t>Scamoni's</w:t>
                  </w:r>
                  <w:proofErr w:type="spellEnd"/>
                  <w:r>
                    <w:rPr>
                      <w:rFonts w:ascii="Verdana" w:hAnsi="Verdana"/>
                      <w:color w:val="808080"/>
                      <w:sz w:val="15"/>
                      <w:szCs w:val="15"/>
                    </w:rPr>
                    <w:t xml:space="preserve"> Newsletter </w:t>
                  </w:r>
                  <w:proofErr w:type="spellStart"/>
                  <w:r>
                    <w:rPr>
                      <w:rFonts w:ascii="Verdana" w:hAnsi="Verdana"/>
                      <w:color w:val="808080"/>
                      <w:sz w:val="15"/>
                      <w:szCs w:val="15"/>
                    </w:rPr>
                    <w:t>is</w:t>
                  </w:r>
                  <w:proofErr w:type="spellEnd"/>
                  <w:r>
                    <w:rPr>
                      <w:rFonts w:ascii="Verdana" w:hAnsi="Verdana"/>
                      <w:color w:val="808080"/>
                      <w:sz w:val="15"/>
                      <w:szCs w:val="15"/>
                    </w:rPr>
                    <w:t xml:space="preserve"> CMS </w:t>
                  </w:r>
                  <w:proofErr w:type="spellStart"/>
                  <w:r>
                    <w:rPr>
                      <w:rFonts w:ascii="Verdana" w:hAnsi="Verdana"/>
                      <w:color w:val="808080"/>
                      <w:sz w:val="15"/>
                      <w:szCs w:val="15"/>
                    </w:rPr>
                    <w:t>property</w:t>
                  </w:r>
                  <w:proofErr w:type="spellEnd"/>
                  <w:r>
                    <w:rPr>
                      <w:rFonts w:ascii="Verdana" w:hAnsi="Verdana"/>
                      <w:color w:val="808080"/>
                      <w:sz w:val="15"/>
                      <w:szCs w:val="15"/>
                    </w:rPr>
                    <w:t>.</w:t>
                  </w:r>
                </w:p>
                <w:p w:rsidR="00763B09" w:rsidRDefault="00763B09">
                  <w:pPr>
                    <w:rPr>
                      <w:rFonts w:ascii="Times New Roman" w:hAnsi="Times New Roman" w:cs="Times New Roman"/>
                      <w:sz w:val="24"/>
                      <w:szCs w:val="24"/>
                    </w:rPr>
                  </w:pPr>
                  <w:r>
                    <w:rPr>
                      <w:rFonts w:ascii="Verdana" w:hAnsi="Verdana"/>
                      <w:b/>
                      <w:bCs/>
                      <w:color w:val="808080"/>
                      <w:sz w:val="15"/>
                      <w:szCs w:val="15"/>
                    </w:rPr>
                    <w:t xml:space="preserve">CMS Adonnino Ascoli &amp; Cavasola Scamoni </w:t>
                  </w:r>
                  <w:r>
                    <w:rPr>
                      <w:rFonts w:ascii="Verdana" w:hAnsi="Verdana"/>
                      <w:color w:val="808080"/>
                      <w:sz w:val="15"/>
                      <w:szCs w:val="15"/>
                    </w:rPr>
                    <w:t>è membro di CMS, organizzazione internazionale di studi legali e tributari indipendenti.</w:t>
                  </w:r>
                </w:p>
                <w:p w:rsidR="00763B09" w:rsidRDefault="00763B09">
                  <w:pPr>
                    <w:rPr>
                      <w:rFonts w:ascii="Times New Roman" w:hAnsi="Times New Roman" w:cs="Times New Roman"/>
                      <w:sz w:val="24"/>
                      <w:szCs w:val="24"/>
                    </w:rPr>
                  </w:pPr>
                  <w:r>
                    <w:rPr>
                      <w:rFonts w:ascii="Verdana" w:hAnsi="Verdana"/>
                      <w:b/>
                      <w:bCs/>
                      <w:color w:val="808080"/>
                      <w:sz w:val="15"/>
                      <w:szCs w:val="15"/>
                    </w:rPr>
                    <w:t> </w:t>
                  </w:r>
                </w:p>
                <w:p w:rsidR="00763B09" w:rsidRDefault="00763B09">
                  <w:pPr>
                    <w:rPr>
                      <w:rFonts w:ascii="Times New Roman" w:hAnsi="Times New Roman" w:cs="Times New Roman"/>
                      <w:sz w:val="24"/>
                      <w:szCs w:val="24"/>
                    </w:rPr>
                  </w:pPr>
                  <w:r>
                    <w:rPr>
                      <w:rFonts w:ascii="Verdana" w:hAnsi="Verdana"/>
                      <w:b/>
                      <w:bCs/>
                      <w:color w:val="808080"/>
                      <w:sz w:val="15"/>
                      <w:szCs w:val="15"/>
                    </w:rPr>
                    <w:t xml:space="preserve">Uffici CMS: </w:t>
                  </w:r>
                  <w:r>
                    <w:rPr>
                      <w:rFonts w:ascii="Verdana" w:hAnsi="Verdana"/>
                      <w:color w:val="808080"/>
                      <w:sz w:val="15"/>
                      <w:szCs w:val="15"/>
                    </w:rPr>
                    <w:t>Aberdeen, Algeri, Amburgo, Amsterdam, Anversa, Barcellona, Belgrado, Berlino, Bogotá, Bratislava, Bristol, Bruxelles, Bucarest, Budapest, Casablanca, Città del Messico, Colonia, Dubai, Düsseldorf, Edimburgo, Francoforte, Funchal, Ginevra, Glasgow, Hong Kong, Istanbul, Kiev, Lima, Lione, Lipsia, Lisbona, Londra, Luanda, Lubiana, Lussemburgo, Madrid, Manchester, Milano, Monaco, Monaco di Baviera, Mosca, Muscat, Parigi, Pechino, Podgorica, Poznan, Praga, Reading, Riad, Rio de Janeiro, Roma, Santiago del Cile, Sarajevo, Shanghai, Sheffield, Singapore, Siviglia, Skopje, Sofia, Stoccarda, Strasburgo, Tirana, Utrecht, Varsavia, Vienna, Zagabria e Zurigo.</w:t>
                  </w:r>
                </w:p>
                <w:p w:rsidR="00763B09" w:rsidRDefault="00763B09">
                  <w:pPr>
                    <w:rPr>
                      <w:rFonts w:ascii="Times New Roman" w:hAnsi="Times New Roman" w:cs="Times New Roman"/>
                      <w:sz w:val="24"/>
                      <w:szCs w:val="24"/>
                    </w:rPr>
                  </w:pPr>
                  <w:r>
                    <w:rPr>
                      <w:rFonts w:ascii="Times New Roman" w:hAnsi="Times New Roman" w:cs="Times New Roman"/>
                      <w:sz w:val="24"/>
                      <w:szCs w:val="24"/>
                    </w:rPr>
                    <w:t> </w:t>
                  </w:r>
                </w:p>
                <w:p w:rsidR="00763B09" w:rsidRDefault="00763B09">
                  <w:pPr>
                    <w:rPr>
                      <w:rFonts w:ascii="Times New Roman" w:hAnsi="Times New Roman" w:cs="Times New Roman"/>
                      <w:color w:val="7F7F7F"/>
                      <w:sz w:val="24"/>
                      <w:szCs w:val="24"/>
                    </w:rPr>
                  </w:pPr>
                  <w:hyperlink r:id="rId12" w:history="1">
                    <w:proofErr w:type="spellStart"/>
                    <w:r>
                      <w:rPr>
                        <w:rStyle w:val="Collegamentoipertestuale"/>
                        <w:rFonts w:ascii="Verdana" w:hAnsi="Verdana"/>
                        <w:color w:val="7F7F7F"/>
                        <w:sz w:val="15"/>
                        <w:szCs w:val="15"/>
                      </w:rPr>
                      <w:t>cms.law</w:t>
                    </w:r>
                    <w:proofErr w:type="spellEnd"/>
                  </w:hyperlink>
                </w:p>
                <w:p w:rsidR="00763B09" w:rsidRDefault="00763B09">
                  <w:pPr>
                    <w:rPr>
                      <w:rFonts w:ascii="Times New Roman" w:hAnsi="Times New Roman" w:cs="Times New Roman"/>
                      <w:sz w:val="24"/>
                      <w:szCs w:val="24"/>
                    </w:rPr>
                  </w:pPr>
                  <w:r>
                    <w:t> </w:t>
                  </w:r>
                </w:p>
                <w:p w:rsidR="00763B09" w:rsidRDefault="00763B09">
                  <w:pPr>
                    <w:rPr>
                      <w:rFonts w:ascii="Times New Roman" w:hAnsi="Times New Roman" w:cs="Times New Roman"/>
                      <w:sz w:val="24"/>
                      <w:szCs w:val="24"/>
                    </w:rPr>
                  </w:pPr>
                  <w:r>
                    <w:rPr>
                      <w:rFonts w:ascii="Verdana" w:hAnsi="Verdana"/>
                      <w:color w:val="808080"/>
                      <w:sz w:val="15"/>
                      <w:szCs w:val="15"/>
                    </w:rPr>
                    <w:t xml:space="preserve">Se non desiderate ricevere in futuro questa </w:t>
                  </w:r>
                  <w:proofErr w:type="gramStart"/>
                  <w:r>
                    <w:rPr>
                      <w:rFonts w:ascii="Verdana" w:hAnsi="Verdana"/>
                      <w:color w:val="808080"/>
                      <w:sz w:val="15"/>
                      <w:szCs w:val="15"/>
                    </w:rPr>
                    <w:t>email</w:t>
                  </w:r>
                  <w:proofErr w:type="gramEnd"/>
                  <w:r>
                    <w:rPr>
                      <w:rFonts w:ascii="Verdana" w:hAnsi="Verdana"/>
                      <w:color w:val="808080"/>
                      <w:sz w:val="15"/>
                      <w:szCs w:val="15"/>
                    </w:rPr>
                    <w:t xml:space="preserve"> </w:t>
                  </w:r>
                  <w:hyperlink r:id="rId13" w:history="1">
                    <w:r>
                      <w:rPr>
                        <w:rStyle w:val="Collegamentoipertestuale"/>
                        <w:rFonts w:ascii="Verdana" w:hAnsi="Verdana"/>
                        <w:color w:val="808080"/>
                        <w:sz w:val="15"/>
                        <w:szCs w:val="15"/>
                      </w:rPr>
                      <w:t>Cliccare qui</w:t>
                    </w:r>
                  </w:hyperlink>
                </w:p>
                <w:p w:rsidR="00763B09" w:rsidRDefault="00763B09">
                  <w:pPr>
                    <w:spacing w:before="105" w:after="240" w:line="240" w:lineRule="atLeast"/>
                    <w:rPr>
                      <w:rFonts w:ascii="Verdana" w:hAnsi="Verdana"/>
                      <w:sz w:val="17"/>
                      <w:szCs w:val="17"/>
                      <w:lang w:val="en-GB"/>
                    </w:rPr>
                  </w:pPr>
                  <w:r>
                    <w:rPr>
                      <w:rFonts w:ascii="Verdana" w:hAnsi="Verdana"/>
                      <w:color w:val="808080"/>
                      <w:sz w:val="15"/>
                      <w:szCs w:val="15"/>
                      <w:lang w:val="en-US"/>
                    </w:rPr>
                    <w:t xml:space="preserve">If you do not wish to receive any future e-mails </w:t>
                  </w:r>
                  <w:hyperlink r:id="rId14" w:history="1">
                    <w:r>
                      <w:rPr>
                        <w:rStyle w:val="Collegamentoipertestuale"/>
                        <w:rFonts w:ascii="Verdana" w:hAnsi="Verdana"/>
                        <w:color w:val="7F7F7F"/>
                        <w:sz w:val="15"/>
                        <w:szCs w:val="15"/>
                        <w:lang w:val="en-US"/>
                      </w:rPr>
                      <w:t>Click here</w:t>
                    </w:r>
                  </w:hyperlink>
                </w:p>
              </w:tc>
              <w:tc>
                <w:tcPr>
                  <w:tcW w:w="270" w:type="dxa"/>
                  <w:vAlign w:val="center"/>
                  <w:hideMark/>
                </w:tcPr>
                <w:p w:rsidR="00763B09" w:rsidRDefault="00763B09">
                  <w:pPr>
                    <w:rPr>
                      <w:rFonts w:ascii="Verdana" w:hAnsi="Verdana"/>
                      <w:sz w:val="17"/>
                      <w:szCs w:val="17"/>
                      <w:lang w:val="en-GB"/>
                    </w:rPr>
                  </w:pPr>
                </w:p>
              </w:tc>
            </w:tr>
          </w:tbl>
          <w:p w:rsidR="00763B09" w:rsidRPr="00763B09" w:rsidRDefault="00763B09">
            <w:pPr>
              <w:rPr>
                <w:rFonts w:ascii="Times New Roman" w:eastAsia="Times New Roman" w:hAnsi="Times New Roman" w:cs="Times New Roman"/>
                <w:sz w:val="20"/>
                <w:szCs w:val="20"/>
                <w:lang w:val="en-GB"/>
              </w:rPr>
            </w:pPr>
          </w:p>
        </w:tc>
      </w:tr>
    </w:tbl>
    <w:p w:rsidR="00763B09" w:rsidRDefault="00763B09" w:rsidP="00763B09">
      <w:pPr>
        <w:rPr>
          <w:lang w:val="en-GB"/>
        </w:rPr>
      </w:pPr>
    </w:p>
    <w:p w:rsidR="00AC49BF" w:rsidRPr="00763B09" w:rsidRDefault="00AC49BF">
      <w:pPr>
        <w:rPr>
          <w:lang w:val="en-GB"/>
        </w:rPr>
      </w:pPr>
    </w:p>
    <w:sectPr w:rsidR="00AC49BF" w:rsidRPr="00763B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6A00"/>
    <w:multiLevelType w:val="hybridMultilevel"/>
    <w:tmpl w:val="D710269E"/>
    <w:lvl w:ilvl="0" w:tplc="4A68E2C2">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09"/>
    <w:rsid w:val="00724ABE"/>
    <w:rsid w:val="00763B09"/>
    <w:rsid w:val="00AC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31AA"/>
  <w15:chartTrackingRefBased/>
  <w15:docId w15:val="{C2ADEE2F-E4A8-4B2A-A198-4AC9F597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3B09"/>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63B09"/>
    <w:rPr>
      <w:strike w:val="0"/>
      <w:dstrike w:val="0"/>
      <w:color w:val="0000FF"/>
      <w:u w:val="none"/>
      <w:effect w:val="none"/>
    </w:rPr>
  </w:style>
  <w:style w:type="paragraph" w:styleId="PreformattatoHTML">
    <w:name w:val="HTML Preformatted"/>
    <w:basedOn w:val="Normale"/>
    <w:link w:val="PreformattatoHTMLCarattere"/>
    <w:uiPriority w:val="99"/>
    <w:semiHidden/>
    <w:unhideWhenUsed/>
    <w:rsid w:val="0076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63B09"/>
    <w:rPr>
      <w:rFonts w:ascii="Courier New" w:hAnsi="Courier New" w:cs="Courier New"/>
      <w:sz w:val="20"/>
      <w:szCs w:val="20"/>
      <w:lang w:eastAsia="it-IT"/>
    </w:rPr>
  </w:style>
  <w:style w:type="character" w:customStyle="1" w:styleId="onlineversion">
    <w:name w:val="online_version"/>
    <w:basedOn w:val="Carpredefinitoparagrafo"/>
    <w:rsid w:val="00763B09"/>
  </w:style>
  <w:style w:type="character" w:customStyle="1" w:styleId="h11">
    <w:name w:val="h11"/>
    <w:basedOn w:val="Carpredefinitoparagrafo"/>
    <w:rsid w:val="00763B09"/>
    <w:rPr>
      <w:color w:val="000000"/>
    </w:rPr>
  </w:style>
  <w:style w:type="character" w:customStyle="1" w:styleId="h2">
    <w:name w:val="h2"/>
    <w:basedOn w:val="Carpredefinitoparagrafo"/>
    <w:rsid w:val="00763B09"/>
  </w:style>
  <w:style w:type="character" w:styleId="Enfasigrassetto">
    <w:name w:val="Strong"/>
    <w:basedOn w:val="Carpredefinitoparagrafo"/>
    <w:uiPriority w:val="22"/>
    <w:qFormat/>
    <w:rsid w:val="00763B09"/>
    <w:rPr>
      <w:b/>
      <w:bCs/>
    </w:rPr>
  </w:style>
  <w:style w:type="paragraph" w:styleId="Testofumetto">
    <w:name w:val="Balloon Text"/>
    <w:basedOn w:val="Normale"/>
    <w:link w:val="TestofumettoCarattere"/>
    <w:uiPriority w:val="99"/>
    <w:semiHidden/>
    <w:unhideWhenUsed/>
    <w:rsid w:val="00763B0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3B09"/>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7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ms-adonnino-ascoli-&amp;-cavasola-scamoni?trk=biz-companies-cyf" TargetMode="External"/><Relationship Id="rId13" Type="http://schemas.openxmlformats.org/officeDocument/2006/relationships/hyperlink" Target="mailto:legal@cms-aacs.com?subject=Non%20desidero%20ricevere%20la%20newsletter"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s://cms.law/it/I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milio.battaglia@cms-aacs.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cms-lawnow.com/regzone" TargetMode="External"/><Relationship Id="rId4" Type="http://schemas.openxmlformats.org/officeDocument/2006/relationships/webSettings" Target="webSettings.xml"/><Relationship Id="rId9" Type="http://schemas.openxmlformats.org/officeDocument/2006/relationships/hyperlink" Target="http://www.cms-lawnow.com/" TargetMode="External"/><Relationship Id="rId14" Type="http://schemas.openxmlformats.org/officeDocument/2006/relationships/hyperlink" Target="mailto:legal@cms-aacs.com?subject=I%20do%20not%20wish%20to%20receive%20any%20future%20e-mails%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7272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Vacchiano</dc:creator>
  <cp:keywords/>
  <dc:description/>
  <cp:lastModifiedBy>Carla Vacchiano</cp:lastModifiedBy>
  <cp:revision>1</cp:revision>
  <dcterms:created xsi:type="dcterms:W3CDTF">2019-04-18T10:42:00Z</dcterms:created>
  <dcterms:modified xsi:type="dcterms:W3CDTF">2019-04-18T10:43:00Z</dcterms:modified>
</cp:coreProperties>
</file>